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3F4059" w14:textId="468A52C3" w:rsidR="002A4407" w:rsidRDefault="001A72A7" w:rsidP="001A72A7">
      <w:pPr>
        <w:jc w:val="both"/>
        <w:rPr>
          <w:rFonts w:ascii="Calibri" w:hAnsi="Calibri" w:cs="Calibri"/>
          <w:sz w:val="20"/>
          <w:szCs w:val="20"/>
        </w:rPr>
      </w:pPr>
      <w:r>
        <w:rPr>
          <w:noProof/>
        </w:rPr>
        <mc:AlternateContent>
          <mc:Choice Requires="wps">
            <w:drawing>
              <wp:anchor distT="0" distB="0" distL="114300" distR="114300" simplePos="0" relativeHeight="251659264" behindDoc="0" locked="0" layoutInCell="1" allowOverlap="1" wp14:anchorId="01DDCD43" wp14:editId="20874026">
                <wp:simplePos x="0" y="0"/>
                <wp:positionH relativeFrom="column">
                  <wp:posOffset>-174828</wp:posOffset>
                </wp:positionH>
                <wp:positionV relativeFrom="paragraph">
                  <wp:posOffset>109576</wp:posOffset>
                </wp:positionV>
                <wp:extent cx="6115507" cy="1163320"/>
                <wp:effectExtent l="0" t="0" r="6350" b="508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15507" cy="1163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FBAE75" w14:textId="77777777" w:rsidR="001A72A7" w:rsidRDefault="001A72A7" w:rsidP="001A72A7">
                            <w:pPr>
                              <w:pBdr>
                                <w:top w:val="single" w:sz="4" w:space="1" w:color="auto"/>
                              </w:pBdr>
                              <w:jc w:val="center"/>
                              <w:rPr>
                                <w:b/>
                                <w:color w:val="0000FF"/>
                                <w:sz w:val="28"/>
                                <w:szCs w:val="28"/>
                              </w:rPr>
                            </w:pPr>
                          </w:p>
                          <w:p w14:paraId="1D6095A6" w14:textId="780DBD32" w:rsidR="001A72A7" w:rsidRPr="00E639BF" w:rsidRDefault="00D2026E" w:rsidP="001A72A7">
                            <w:pPr>
                              <w:pBdr>
                                <w:bottom w:val="single" w:sz="4" w:space="1" w:color="auto"/>
                              </w:pBdr>
                              <w:jc w:val="center"/>
                              <w:rPr>
                                <w:b/>
                                <w:color w:val="17365D" w:themeColor="text2" w:themeShade="BF"/>
                                <w:sz w:val="28"/>
                                <w:szCs w:val="28"/>
                              </w:rPr>
                            </w:pPr>
                            <w:r w:rsidRPr="00E639BF">
                              <w:rPr>
                                <w:b/>
                                <w:color w:val="17365D" w:themeColor="text2" w:themeShade="BF"/>
                                <w:sz w:val="28"/>
                                <w:szCs w:val="28"/>
                              </w:rPr>
                              <w:t>COMMENTI TECNICO-SCIENTIFICI RELATIVI AL SITO</w:t>
                            </w:r>
                          </w:p>
                          <w:p w14:paraId="422029EA" w14:textId="66F4CE7F" w:rsidR="00D2026E" w:rsidRPr="00E639BF" w:rsidRDefault="00D2026E" w:rsidP="001A72A7">
                            <w:pPr>
                              <w:pBdr>
                                <w:bottom w:val="single" w:sz="4" w:space="1" w:color="auto"/>
                              </w:pBdr>
                              <w:jc w:val="center"/>
                              <w:rPr>
                                <w:b/>
                                <w:color w:val="17365D" w:themeColor="text2" w:themeShade="BF"/>
                                <w:sz w:val="28"/>
                                <w:szCs w:val="28"/>
                              </w:rPr>
                            </w:pPr>
                          </w:p>
                          <w:p w14:paraId="16E63DE8" w14:textId="4D9FD575" w:rsidR="001A72A7" w:rsidRPr="00E639BF" w:rsidRDefault="00D2026E" w:rsidP="00D2026E">
                            <w:pPr>
                              <w:pBdr>
                                <w:bottom w:val="single" w:sz="4" w:space="1" w:color="auto"/>
                              </w:pBdr>
                              <w:jc w:val="center"/>
                              <w:rPr>
                                <w:color w:val="17365D" w:themeColor="text2" w:themeShade="BF"/>
                                <w:sz w:val="40"/>
                                <w:szCs w:val="40"/>
                              </w:rPr>
                            </w:pPr>
                            <w:r w:rsidRPr="00E639BF">
                              <w:rPr>
                                <w:b/>
                                <w:color w:val="17365D" w:themeColor="text2" w:themeShade="BF"/>
                                <w:sz w:val="44"/>
                                <w:szCs w:val="44"/>
                              </w:rPr>
                              <w:t>BA-</w:t>
                            </w:r>
                            <w:r w:rsidR="00133875">
                              <w:rPr>
                                <w:b/>
                                <w:color w:val="17365D" w:themeColor="text2" w:themeShade="BF"/>
                                <w:sz w:val="44"/>
                                <w:szCs w:val="4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01DDCD43" id="_x0000_t202" coordsize="21600,21600" o:spt="202" path="m,l,21600r21600,l21600,xe">
                <v:stroke joinstyle="miter"/>
                <v:path gradientshapeok="t" o:connecttype="rect"/>
              </v:shapetype>
              <v:shape id="Text Box 6" o:spid="_x0000_s1026" type="#_x0000_t202" style="position:absolute;left:0;text-align:left;margin-left:-13.75pt;margin-top:8.65pt;width:481.55pt;height:9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" stroked="f">
                <v:path arrowok="t"/>
                <v:textbox>
                  <w:txbxContent>
                    <w:p w14:paraId="47FBAE75" w14:textId="77777777" w:rsidR="001A72A7" w:rsidRDefault="001A72A7" w:rsidP="001A72A7">
                      <w:pPr>
                        <w:pBdr>
                          <w:top w:val="single" w:sz="4" w:space="1" w:color="auto"/>
                        </w:pBdr>
                        <w:jc w:val="center"/>
                        <w:rPr>
                          <w:b/>
                          <w:color w:val="0000FF"/>
                          <w:sz w:val="28"/>
                          <w:szCs w:val="28"/>
                        </w:rPr>
                      </w:pPr>
                    </w:p>
                    <w:p w14:paraId="1D6095A6" w14:textId="780DBD32" w:rsidR="001A72A7" w:rsidRPr="00E639BF" w:rsidRDefault="00D2026E" w:rsidP="001A72A7">
                      <w:pPr>
                        <w:pBdr>
                          <w:bottom w:val="single" w:sz="4" w:space="1" w:color="auto"/>
                        </w:pBdr>
                        <w:jc w:val="center"/>
                        <w:rPr>
                          <w:b/>
                          <w:color w:val="17365D" w:themeColor="text2" w:themeShade="BF"/>
                          <w:sz w:val="28"/>
                          <w:szCs w:val="28"/>
                        </w:rPr>
                      </w:pPr>
                      <w:r w:rsidRPr="00E639BF">
                        <w:rPr>
                          <w:b/>
                          <w:color w:val="17365D" w:themeColor="text2" w:themeShade="BF"/>
                          <w:sz w:val="28"/>
                          <w:szCs w:val="28"/>
                        </w:rPr>
                        <w:t>COMMENTI TECNICO-SCIENTIFICI RELATIVI AL SITO</w:t>
                      </w:r>
                    </w:p>
                    <w:p w14:paraId="422029EA" w14:textId="66F4CE7F" w:rsidR="00D2026E" w:rsidRPr="00E639BF" w:rsidRDefault="00D2026E" w:rsidP="001A72A7">
                      <w:pPr>
                        <w:pBdr>
                          <w:bottom w:val="single" w:sz="4" w:space="1" w:color="auto"/>
                        </w:pBdr>
                        <w:jc w:val="center"/>
                        <w:rPr>
                          <w:b/>
                          <w:color w:val="17365D" w:themeColor="text2" w:themeShade="BF"/>
                          <w:sz w:val="28"/>
                          <w:szCs w:val="28"/>
                        </w:rPr>
                      </w:pPr>
                    </w:p>
                    <w:p w14:paraId="16E63DE8" w14:textId="4D9FD575" w:rsidR="001A72A7" w:rsidRPr="00E639BF" w:rsidRDefault="00D2026E" w:rsidP="00D2026E">
                      <w:pPr>
                        <w:pBdr>
                          <w:bottom w:val="single" w:sz="4" w:space="1" w:color="auto"/>
                        </w:pBdr>
                        <w:jc w:val="center"/>
                        <w:rPr>
                          <w:color w:val="17365D" w:themeColor="text2" w:themeShade="BF"/>
                          <w:sz w:val="40"/>
                          <w:szCs w:val="40"/>
                        </w:rPr>
                      </w:pPr>
                      <w:r w:rsidRPr="00E639BF">
                        <w:rPr>
                          <w:b/>
                          <w:color w:val="17365D" w:themeColor="text2" w:themeShade="BF"/>
                          <w:sz w:val="44"/>
                          <w:szCs w:val="44"/>
                        </w:rPr>
                        <w:t>BA-</w:t>
                      </w:r>
                      <w:r w:rsidR="00133875">
                        <w:rPr>
                          <w:b/>
                          <w:color w:val="17365D" w:themeColor="text2" w:themeShade="BF"/>
                          <w:sz w:val="44"/>
                          <w:szCs w:val="44"/>
                        </w:rPr>
                        <w:t>5</w:t>
                      </w:r>
                    </w:p>
                  </w:txbxContent>
                </v:textbox>
              </v:shape>
            </w:pict>
          </mc:Fallback>
        </mc:AlternateContent>
      </w:r>
    </w:p>
    <w:p w14:paraId="20E1AD29" w14:textId="36E651F6" w:rsidR="002A4407" w:rsidRDefault="002A4407">
      <w:pPr>
        <w:tabs>
          <w:tab w:val="left" w:pos="4253"/>
          <w:tab w:val="left" w:pos="4962"/>
          <w:tab w:val="left" w:pos="5245"/>
        </w:tabs>
        <w:spacing w:line="276" w:lineRule="auto"/>
        <w:jc w:val="both"/>
        <w:rPr>
          <w:rFonts w:ascii="Calibri" w:hAnsi="Calibri"/>
          <w:sz w:val="20"/>
        </w:rPr>
      </w:pPr>
    </w:p>
    <w:p w14:paraId="3CE32A0D" w14:textId="71D10CD6" w:rsidR="00D2026E" w:rsidRDefault="00D2026E">
      <w:pPr>
        <w:tabs>
          <w:tab w:val="left" w:pos="4253"/>
          <w:tab w:val="left" w:pos="4962"/>
          <w:tab w:val="left" w:pos="5245"/>
        </w:tabs>
        <w:spacing w:line="276" w:lineRule="auto"/>
        <w:jc w:val="both"/>
        <w:rPr>
          <w:rFonts w:ascii="Calibri" w:hAnsi="Calibri"/>
          <w:sz w:val="20"/>
        </w:rPr>
      </w:pPr>
    </w:p>
    <w:p w14:paraId="7BE65EF5" w14:textId="4FD5C886" w:rsidR="00D2026E" w:rsidRDefault="00D2026E">
      <w:pPr>
        <w:tabs>
          <w:tab w:val="left" w:pos="4253"/>
          <w:tab w:val="left" w:pos="4962"/>
          <w:tab w:val="left" w:pos="5245"/>
        </w:tabs>
        <w:spacing w:line="276" w:lineRule="auto"/>
        <w:jc w:val="both"/>
        <w:rPr>
          <w:rFonts w:ascii="Calibri" w:hAnsi="Calibri"/>
          <w:sz w:val="20"/>
        </w:rPr>
      </w:pPr>
    </w:p>
    <w:p w14:paraId="577AAFB2" w14:textId="18B3128A" w:rsidR="00D2026E" w:rsidRDefault="00D2026E">
      <w:pPr>
        <w:tabs>
          <w:tab w:val="left" w:pos="4253"/>
          <w:tab w:val="left" w:pos="4962"/>
          <w:tab w:val="left" w:pos="5245"/>
        </w:tabs>
        <w:spacing w:line="276" w:lineRule="auto"/>
        <w:jc w:val="both"/>
        <w:rPr>
          <w:rFonts w:ascii="Calibri" w:hAnsi="Calibri"/>
          <w:sz w:val="20"/>
        </w:rPr>
      </w:pPr>
    </w:p>
    <w:p w14:paraId="28DAE790" w14:textId="70F25853" w:rsidR="00D2026E" w:rsidRDefault="00D2026E">
      <w:pPr>
        <w:tabs>
          <w:tab w:val="left" w:pos="4253"/>
          <w:tab w:val="left" w:pos="4962"/>
          <w:tab w:val="left" w:pos="5245"/>
        </w:tabs>
        <w:spacing w:line="276" w:lineRule="auto"/>
        <w:jc w:val="both"/>
        <w:rPr>
          <w:rFonts w:ascii="Calibri" w:hAnsi="Calibri"/>
          <w:sz w:val="20"/>
        </w:rPr>
      </w:pPr>
    </w:p>
    <w:p w14:paraId="1C336044" w14:textId="7A00CAC5" w:rsidR="00D2026E" w:rsidRDefault="00D2026E">
      <w:pPr>
        <w:tabs>
          <w:tab w:val="left" w:pos="4253"/>
          <w:tab w:val="left" w:pos="4962"/>
          <w:tab w:val="left" w:pos="5245"/>
        </w:tabs>
        <w:spacing w:line="276" w:lineRule="auto"/>
        <w:jc w:val="both"/>
        <w:rPr>
          <w:rFonts w:ascii="Calibri" w:hAnsi="Calibri"/>
          <w:sz w:val="20"/>
        </w:rPr>
      </w:pPr>
    </w:p>
    <w:p w14:paraId="0B6FDF01" w14:textId="5DCAF185" w:rsidR="00D2026E" w:rsidRDefault="00D2026E">
      <w:pPr>
        <w:tabs>
          <w:tab w:val="left" w:pos="4253"/>
          <w:tab w:val="left" w:pos="4962"/>
          <w:tab w:val="left" w:pos="5245"/>
        </w:tabs>
        <w:spacing w:line="276" w:lineRule="auto"/>
        <w:jc w:val="both"/>
        <w:rPr>
          <w:rFonts w:ascii="Calibri" w:hAnsi="Calibri"/>
          <w:sz w:val="20"/>
        </w:rPr>
      </w:pPr>
    </w:p>
    <w:p w14:paraId="4DA05215" w14:textId="17AB7BC8"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D2026E">
        <w:rPr>
          <w:rFonts w:asciiTheme="majorHAnsi" w:eastAsia="Cambria" w:hAnsiTheme="majorHAnsi"/>
          <w:b/>
          <w:bCs/>
          <w:color w:val="0F243E" w:themeColor="text2" w:themeShade="80"/>
        </w:rPr>
        <w:t>IDENTIFICAZIONE DELL’AREA</w:t>
      </w:r>
    </w:p>
    <w:p w14:paraId="28B86D91" w14:textId="77777777"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rPr>
      </w:pPr>
    </w:p>
    <w:tbl>
      <w:tblPr>
        <w:tblStyle w:val="Grigliatabella"/>
        <w:tblW w:w="0" w:type="auto"/>
        <w:tblLook w:val="04A0" w:firstRow="1" w:lastRow="0" w:firstColumn="1" w:lastColumn="0" w:noHBand="0" w:noVBand="1"/>
      </w:tblPr>
      <w:tblGrid>
        <w:gridCol w:w="4414"/>
        <w:gridCol w:w="4415"/>
      </w:tblGrid>
      <w:tr w:rsidR="00D2026E" w:rsidRPr="00D2026E" w14:paraId="40CCE02A" w14:textId="77777777" w:rsidTr="00D2026E">
        <w:tc>
          <w:tcPr>
            <w:tcW w:w="4414" w:type="dxa"/>
            <w:shd w:val="clear" w:color="auto" w:fill="002060"/>
          </w:tcPr>
          <w:p w14:paraId="6D0FCD33" w14:textId="779180C9" w:rsidR="00D2026E" w:rsidRPr="00D2026E" w:rsidRDefault="00D2026E" w:rsidP="00D2026E">
            <w:pPr>
              <w:tabs>
                <w:tab w:val="left" w:pos="4253"/>
                <w:tab w:val="left" w:pos="4962"/>
                <w:tab w:val="left" w:pos="5245"/>
              </w:tabs>
              <w:spacing w:line="276" w:lineRule="auto"/>
              <w:jc w:val="center"/>
              <w:rPr>
                <w:rFonts w:asciiTheme="majorHAnsi" w:hAnsiTheme="majorHAnsi"/>
                <w:b/>
                <w:bCs/>
                <w:sz w:val="20"/>
              </w:rPr>
            </w:pPr>
            <w:r w:rsidRPr="00D2026E">
              <w:rPr>
                <w:rFonts w:asciiTheme="majorHAnsi" w:eastAsia="Cambria" w:hAnsiTheme="majorHAnsi"/>
                <w:b/>
                <w:bCs/>
                <w:sz w:val="28"/>
                <w:szCs w:val="28"/>
              </w:rPr>
              <w:t>Codice Identificativo</w:t>
            </w:r>
          </w:p>
        </w:tc>
        <w:tc>
          <w:tcPr>
            <w:tcW w:w="4415" w:type="dxa"/>
            <w:shd w:val="clear" w:color="auto" w:fill="002060"/>
          </w:tcPr>
          <w:p w14:paraId="12401E08" w14:textId="032808DA" w:rsidR="00D2026E" w:rsidRPr="00D2026E" w:rsidRDefault="00D2026E" w:rsidP="00F65550">
            <w:pPr>
              <w:suppressAutoHyphens w:val="0"/>
              <w:autoSpaceDE w:val="0"/>
              <w:autoSpaceDN w:val="0"/>
              <w:adjustRightInd w:val="0"/>
              <w:jc w:val="center"/>
              <w:rPr>
                <w:rFonts w:asciiTheme="majorHAnsi" w:eastAsia="Cambria" w:hAnsiTheme="majorHAnsi"/>
                <w:b/>
                <w:bCs/>
                <w:sz w:val="28"/>
                <w:szCs w:val="28"/>
              </w:rPr>
            </w:pPr>
            <w:r w:rsidRPr="00D2026E">
              <w:rPr>
                <w:rFonts w:asciiTheme="majorHAnsi" w:eastAsia="Cambria" w:hAnsiTheme="majorHAnsi"/>
                <w:b/>
                <w:bCs/>
                <w:sz w:val="28"/>
                <w:szCs w:val="28"/>
              </w:rPr>
              <w:t>BA</w:t>
            </w:r>
            <w:r w:rsidR="00F65550">
              <w:rPr>
                <w:rFonts w:asciiTheme="majorHAnsi" w:eastAsia="Cambria" w:hAnsiTheme="majorHAnsi"/>
                <w:b/>
                <w:bCs/>
                <w:sz w:val="28"/>
                <w:szCs w:val="28"/>
              </w:rPr>
              <w:t>-5</w:t>
            </w:r>
          </w:p>
        </w:tc>
      </w:tr>
      <w:tr w:rsidR="00D2026E" w:rsidRPr="00D2026E" w14:paraId="0D527F0C" w14:textId="77777777" w:rsidTr="00D2026E">
        <w:tc>
          <w:tcPr>
            <w:tcW w:w="4414" w:type="dxa"/>
          </w:tcPr>
          <w:p w14:paraId="0EC07B22" w14:textId="273BE402"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Superficie area (ha)</w:t>
            </w:r>
          </w:p>
        </w:tc>
        <w:tc>
          <w:tcPr>
            <w:tcW w:w="4415" w:type="dxa"/>
          </w:tcPr>
          <w:p w14:paraId="094092F5" w14:textId="526EA8D3" w:rsidR="00D2026E" w:rsidRPr="00D2026E" w:rsidRDefault="00F65550" w:rsidP="00D2026E">
            <w:pPr>
              <w:suppressAutoHyphens w:val="0"/>
              <w:autoSpaceDE w:val="0"/>
              <w:autoSpaceDN w:val="0"/>
              <w:adjustRightInd w:val="0"/>
              <w:jc w:val="center"/>
              <w:rPr>
                <w:rFonts w:asciiTheme="majorHAnsi" w:eastAsia="Cambria" w:hAnsiTheme="majorHAnsi"/>
                <w:sz w:val="20"/>
                <w:szCs w:val="20"/>
              </w:rPr>
            </w:pPr>
            <w:r>
              <w:rPr>
                <w:rFonts w:asciiTheme="majorHAnsi" w:eastAsia="Cambria" w:hAnsiTheme="majorHAnsi"/>
                <w:sz w:val="20"/>
                <w:szCs w:val="20"/>
              </w:rPr>
              <w:t>475</w:t>
            </w:r>
          </w:p>
        </w:tc>
      </w:tr>
      <w:tr w:rsidR="00D2026E" w:rsidRPr="00D2026E" w14:paraId="1A32C698" w14:textId="77777777" w:rsidTr="00D2026E">
        <w:tc>
          <w:tcPr>
            <w:tcW w:w="4414" w:type="dxa"/>
          </w:tcPr>
          <w:p w14:paraId="30E0B21F" w14:textId="5D45A076"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Regione</w:t>
            </w:r>
          </w:p>
        </w:tc>
        <w:tc>
          <w:tcPr>
            <w:tcW w:w="4415" w:type="dxa"/>
          </w:tcPr>
          <w:p w14:paraId="371E2308" w14:textId="66966260" w:rsidR="00D2026E" w:rsidRPr="00D2026E" w:rsidRDefault="00D2026E" w:rsidP="00F65550">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Puglia</w:t>
            </w:r>
          </w:p>
        </w:tc>
      </w:tr>
      <w:tr w:rsidR="00D2026E" w:rsidRPr="00D2026E" w14:paraId="49D92E09" w14:textId="77777777" w:rsidTr="00D2026E">
        <w:tc>
          <w:tcPr>
            <w:tcW w:w="4414" w:type="dxa"/>
          </w:tcPr>
          <w:p w14:paraId="28F98325" w14:textId="729CB640"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Provincia</w:t>
            </w:r>
          </w:p>
        </w:tc>
        <w:tc>
          <w:tcPr>
            <w:tcW w:w="4415" w:type="dxa"/>
          </w:tcPr>
          <w:p w14:paraId="0728F8B0" w14:textId="70FFC26C" w:rsidR="00D2026E" w:rsidRPr="00D2026E" w:rsidRDefault="00D2026E" w:rsidP="00F65550">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Bari</w:t>
            </w:r>
          </w:p>
        </w:tc>
      </w:tr>
      <w:tr w:rsidR="00D2026E" w:rsidRPr="00D2026E" w14:paraId="2522DBC5" w14:textId="77777777" w:rsidTr="00D2026E">
        <w:tc>
          <w:tcPr>
            <w:tcW w:w="4414" w:type="dxa"/>
          </w:tcPr>
          <w:p w14:paraId="2BC7EEA8" w14:textId="0F3DD9D5"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Comune</w:t>
            </w:r>
          </w:p>
        </w:tc>
        <w:tc>
          <w:tcPr>
            <w:tcW w:w="4415" w:type="dxa"/>
          </w:tcPr>
          <w:p w14:paraId="301B5F46" w14:textId="0BC3AEAB" w:rsidR="00D2026E" w:rsidRPr="00D2026E" w:rsidRDefault="00F65550" w:rsidP="00D2026E">
            <w:pPr>
              <w:suppressAutoHyphens w:val="0"/>
              <w:autoSpaceDE w:val="0"/>
              <w:autoSpaceDN w:val="0"/>
              <w:adjustRightInd w:val="0"/>
              <w:jc w:val="center"/>
              <w:rPr>
                <w:rFonts w:asciiTheme="majorHAnsi" w:eastAsia="Cambria" w:hAnsiTheme="majorHAnsi"/>
                <w:sz w:val="20"/>
                <w:szCs w:val="20"/>
              </w:rPr>
            </w:pPr>
            <w:r>
              <w:rPr>
                <w:rFonts w:asciiTheme="majorHAnsi" w:eastAsia="Cambria" w:hAnsiTheme="majorHAnsi"/>
                <w:sz w:val="20"/>
                <w:szCs w:val="20"/>
              </w:rPr>
              <w:t>Gravina in Puglia</w:t>
            </w:r>
          </w:p>
        </w:tc>
      </w:tr>
      <w:tr w:rsidR="00D2026E" w:rsidRPr="00D2026E" w14:paraId="2F36AB01" w14:textId="77777777" w:rsidTr="00D2026E">
        <w:tc>
          <w:tcPr>
            <w:tcW w:w="4414" w:type="dxa"/>
          </w:tcPr>
          <w:p w14:paraId="4555D827" w14:textId="0FC67DEB"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Foglio IGM 1:100.000</w:t>
            </w:r>
          </w:p>
        </w:tc>
        <w:tc>
          <w:tcPr>
            <w:tcW w:w="4415" w:type="dxa"/>
          </w:tcPr>
          <w:p w14:paraId="095223DE" w14:textId="22A8E20A" w:rsidR="00D2026E" w:rsidRPr="00D2026E" w:rsidRDefault="00D2026E" w:rsidP="00F65550">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18</w:t>
            </w:r>
            <w:r w:rsidR="00F65550">
              <w:rPr>
                <w:rFonts w:asciiTheme="majorHAnsi" w:eastAsia="Cambria" w:hAnsiTheme="majorHAnsi"/>
                <w:sz w:val="20"/>
                <w:szCs w:val="20"/>
              </w:rPr>
              <w:t>8</w:t>
            </w:r>
          </w:p>
        </w:tc>
      </w:tr>
      <w:tr w:rsidR="00D2026E" w:rsidRPr="00D2026E" w14:paraId="1D0A6C13" w14:textId="77777777" w:rsidTr="00D2026E">
        <w:tc>
          <w:tcPr>
            <w:tcW w:w="4414" w:type="dxa"/>
          </w:tcPr>
          <w:p w14:paraId="5F4B1768" w14:textId="3B6A58BB"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Tavoletta IGM 1:25.000</w:t>
            </w:r>
          </w:p>
        </w:tc>
        <w:tc>
          <w:tcPr>
            <w:tcW w:w="4415" w:type="dxa"/>
          </w:tcPr>
          <w:p w14:paraId="5ECDED03" w14:textId="75D5FEBD" w:rsidR="00D2026E" w:rsidRPr="00D2026E" w:rsidRDefault="00F65550" w:rsidP="00D2026E">
            <w:pPr>
              <w:suppressAutoHyphens w:val="0"/>
              <w:autoSpaceDE w:val="0"/>
              <w:autoSpaceDN w:val="0"/>
              <w:adjustRightInd w:val="0"/>
              <w:jc w:val="center"/>
              <w:rPr>
                <w:rFonts w:asciiTheme="majorHAnsi" w:eastAsia="Cambria" w:hAnsiTheme="majorHAnsi"/>
                <w:sz w:val="20"/>
                <w:szCs w:val="20"/>
              </w:rPr>
            </w:pPr>
            <w:r w:rsidRPr="00F65550">
              <w:rPr>
                <w:rFonts w:asciiTheme="majorHAnsi" w:eastAsia="Cambria" w:hAnsiTheme="majorHAnsi"/>
                <w:sz w:val="20"/>
                <w:szCs w:val="20"/>
              </w:rPr>
              <w:t>188-II-NE, 188-II-SE</w:t>
            </w:r>
          </w:p>
        </w:tc>
      </w:tr>
      <w:tr w:rsidR="00D2026E" w:rsidRPr="00D2026E" w14:paraId="409ED9E0" w14:textId="77777777" w:rsidTr="00D2026E">
        <w:tc>
          <w:tcPr>
            <w:tcW w:w="4414" w:type="dxa"/>
          </w:tcPr>
          <w:p w14:paraId="33E0E287" w14:textId="7CCF83DF"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Sezioni CTR 1:10.000</w:t>
            </w:r>
          </w:p>
        </w:tc>
        <w:tc>
          <w:tcPr>
            <w:tcW w:w="4415" w:type="dxa"/>
          </w:tcPr>
          <w:p w14:paraId="555F35C6" w14:textId="061DD520" w:rsidR="00D2026E" w:rsidRPr="00D2026E" w:rsidRDefault="00F65550" w:rsidP="00D2026E">
            <w:pPr>
              <w:tabs>
                <w:tab w:val="left" w:pos="4253"/>
                <w:tab w:val="left" w:pos="4962"/>
                <w:tab w:val="left" w:pos="5245"/>
              </w:tabs>
              <w:spacing w:line="276" w:lineRule="auto"/>
              <w:jc w:val="center"/>
              <w:rPr>
                <w:rFonts w:asciiTheme="majorHAnsi" w:hAnsiTheme="majorHAnsi"/>
                <w:sz w:val="20"/>
              </w:rPr>
            </w:pPr>
            <w:r w:rsidRPr="00F65550">
              <w:rPr>
                <w:rFonts w:asciiTheme="majorHAnsi" w:eastAsia="Cambria" w:hAnsiTheme="majorHAnsi"/>
                <w:sz w:val="20"/>
                <w:szCs w:val="20"/>
              </w:rPr>
              <w:t>472010, 472050</w:t>
            </w:r>
          </w:p>
        </w:tc>
      </w:tr>
    </w:tbl>
    <w:p w14:paraId="4FBD9E4F" w14:textId="386F0F7F" w:rsidR="00D2026E" w:rsidRPr="00D2026E" w:rsidRDefault="00D2026E">
      <w:pPr>
        <w:tabs>
          <w:tab w:val="left" w:pos="4253"/>
          <w:tab w:val="left" w:pos="4962"/>
          <w:tab w:val="left" w:pos="5245"/>
        </w:tabs>
        <w:spacing w:line="276" w:lineRule="auto"/>
        <w:jc w:val="both"/>
        <w:rPr>
          <w:rFonts w:asciiTheme="majorHAnsi" w:hAnsiTheme="majorHAnsi"/>
          <w:sz w:val="20"/>
        </w:rPr>
      </w:pPr>
    </w:p>
    <w:p w14:paraId="022A8700" w14:textId="77777777" w:rsidR="00C24F6B" w:rsidRDefault="00C24F6B"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7BCBFA10" w14:textId="2CC4A85D" w:rsidR="00D2026E" w:rsidRDefault="00F65550"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t>UBICAZIONE GEOGRAFICA</w:t>
      </w:r>
    </w:p>
    <w:p w14:paraId="0F7BC44A" w14:textId="77777777" w:rsidR="00F65550" w:rsidRDefault="00F65550"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4E7FE9A1" w14:textId="29CBB597" w:rsidR="00D2026E" w:rsidRPr="00D2026E" w:rsidRDefault="00F65550" w:rsidP="00F65550">
      <w:pPr>
        <w:tabs>
          <w:tab w:val="left" w:pos="4253"/>
          <w:tab w:val="left" w:pos="4962"/>
          <w:tab w:val="left" w:pos="5245"/>
        </w:tabs>
        <w:spacing w:line="276" w:lineRule="auto"/>
        <w:rPr>
          <w:rFonts w:asciiTheme="majorHAnsi" w:eastAsia="Cambria" w:hAnsiTheme="majorHAnsi"/>
          <w:b/>
          <w:bCs/>
          <w:color w:val="0F243E" w:themeColor="text2" w:themeShade="80"/>
        </w:rPr>
      </w:pPr>
      <w:r w:rsidRPr="00F65550">
        <w:rPr>
          <w:rFonts w:asciiTheme="majorHAnsi" w:eastAsia="Cambria" w:hAnsiTheme="majorHAnsi"/>
          <w:b/>
          <w:bCs/>
          <w:noProof/>
          <w:color w:val="0F243E" w:themeColor="text2" w:themeShade="80"/>
        </w:rPr>
        <w:drawing>
          <wp:inline distT="0" distB="0" distL="0" distR="0" wp14:anchorId="4F761EED" wp14:editId="06445009">
            <wp:extent cx="5562600" cy="3618865"/>
            <wp:effectExtent l="0" t="0" r="0" b="63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5180" r="5861"/>
                    <a:stretch/>
                  </pic:blipFill>
                  <pic:spPr bwMode="auto">
                    <a:xfrm>
                      <a:off x="0" y="0"/>
                      <a:ext cx="5574925" cy="3626883"/>
                    </a:xfrm>
                    <a:prstGeom prst="rect">
                      <a:avLst/>
                    </a:prstGeom>
                    <a:noFill/>
                    <a:ln>
                      <a:noFill/>
                    </a:ln>
                    <a:extLst>
                      <a:ext uri="{53640926-AAD7-44D8-BBD7-CCE9431645EC}">
                        <a14:shadowObscured xmlns:a14="http://schemas.microsoft.com/office/drawing/2010/main"/>
                      </a:ext>
                    </a:extLst>
                  </pic:spPr>
                </pic:pic>
              </a:graphicData>
            </a:graphic>
          </wp:inline>
        </w:drawing>
      </w:r>
    </w:p>
    <w:p w14:paraId="0FAD093D" w14:textId="2DDEE11F" w:rsidR="00D2026E" w:rsidRPr="00D2026E" w:rsidRDefault="00D2026E">
      <w:pPr>
        <w:tabs>
          <w:tab w:val="left" w:pos="4253"/>
          <w:tab w:val="left" w:pos="4962"/>
          <w:tab w:val="left" w:pos="5245"/>
        </w:tabs>
        <w:spacing w:line="276" w:lineRule="auto"/>
        <w:jc w:val="both"/>
        <w:rPr>
          <w:rFonts w:asciiTheme="majorHAnsi" w:hAnsiTheme="majorHAnsi"/>
          <w:sz w:val="20"/>
        </w:rPr>
      </w:pPr>
    </w:p>
    <w:p w14:paraId="400305A9" w14:textId="6543A260" w:rsidR="00D2026E" w:rsidRDefault="00D2026E">
      <w:pPr>
        <w:tabs>
          <w:tab w:val="left" w:pos="4253"/>
          <w:tab w:val="left" w:pos="4962"/>
          <w:tab w:val="left" w:pos="5245"/>
        </w:tabs>
        <w:spacing w:line="276" w:lineRule="auto"/>
        <w:jc w:val="both"/>
        <w:rPr>
          <w:rFonts w:asciiTheme="majorHAnsi" w:hAnsiTheme="majorHAnsi"/>
          <w:sz w:val="20"/>
        </w:rPr>
      </w:pPr>
    </w:p>
    <w:p w14:paraId="6EB927A5" w14:textId="5032EA63" w:rsidR="005027AA" w:rsidRDefault="005027AA">
      <w:pPr>
        <w:tabs>
          <w:tab w:val="left" w:pos="4253"/>
          <w:tab w:val="left" w:pos="4962"/>
          <w:tab w:val="left" w:pos="5245"/>
        </w:tabs>
        <w:spacing w:line="276" w:lineRule="auto"/>
        <w:jc w:val="both"/>
        <w:rPr>
          <w:rFonts w:asciiTheme="majorHAnsi" w:hAnsiTheme="majorHAnsi"/>
          <w:sz w:val="20"/>
        </w:rPr>
      </w:pPr>
    </w:p>
    <w:p w14:paraId="4C56C523" w14:textId="37D59C24" w:rsidR="005027AA" w:rsidRDefault="005027AA">
      <w:pPr>
        <w:tabs>
          <w:tab w:val="left" w:pos="4253"/>
          <w:tab w:val="left" w:pos="4962"/>
          <w:tab w:val="left" w:pos="5245"/>
        </w:tabs>
        <w:spacing w:line="276" w:lineRule="auto"/>
        <w:jc w:val="both"/>
        <w:rPr>
          <w:rFonts w:asciiTheme="majorHAnsi" w:hAnsiTheme="majorHAnsi"/>
          <w:sz w:val="20"/>
        </w:rPr>
      </w:pPr>
    </w:p>
    <w:p w14:paraId="18D3F569" w14:textId="167A78F1" w:rsidR="005027AA" w:rsidRDefault="005027AA">
      <w:pPr>
        <w:tabs>
          <w:tab w:val="left" w:pos="4253"/>
          <w:tab w:val="left" w:pos="4962"/>
          <w:tab w:val="left" w:pos="5245"/>
        </w:tabs>
        <w:spacing w:line="276" w:lineRule="auto"/>
        <w:jc w:val="both"/>
        <w:rPr>
          <w:rFonts w:asciiTheme="majorHAnsi" w:hAnsiTheme="majorHAnsi"/>
          <w:sz w:val="20"/>
        </w:rPr>
      </w:pPr>
    </w:p>
    <w:p w14:paraId="737E6713" w14:textId="77777777" w:rsidR="005027AA" w:rsidRDefault="005027AA">
      <w:pPr>
        <w:tabs>
          <w:tab w:val="left" w:pos="4253"/>
          <w:tab w:val="left" w:pos="4962"/>
          <w:tab w:val="left" w:pos="5245"/>
        </w:tabs>
        <w:spacing w:line="276" w:lineRule="auto"/>
        <w:jc w:val="both"/>
        <w:rPr>
          <w:rFonts w:asciiTheme="majorHAnsi" w:hAnsiTheme="majorHAnsi"/>
          <w:sz w:val="20"/>
        </w:rPr>
      </w:pPr>
    </w:p>
    <w:p w14:paraId="6BE2AA54" w14:textId="71AD4083" w:rsidR="00D2026E" w:rsidRDefault="00D2026E">
      <w:pPr>
        <w:tabs>
          <w:tab w:val="left" w:pos="4253"/>
          <w:tab w:val="left" w:pos="4962"/>
          <w:tab w:val="left" w:pos="5245"/>
        </w:tabs>
        <w:spacing w:line="276" w:lineRule="auto"/>
        <w:jc w:val="both"/>
        <w:rPr>
          <w:rFonts w:asciiTheme="majorHAnsi" w:hAnsiTheme="majorHAnsi"/>
          <w:sz w:val="20"/>
        </w:rPr>
      </w:pPr>
    </w:p>
    <w:p w14:paraId="5CC45A1D" w14:textId="04785758" w:rsidR="00450125" w:rsidRDefault="00450125" w:rsidP="00450125">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lastRenderedPageBreak/>
        <w:t xml:space="preserve">COMMENTI RIFERITI ALLA </w:t>
      </w:r>
      <w:r w:rsidRPr="00450125">
        <w:rPr>
          <w:rFonts w:asciiTheme="majorHAnsi" w:eastAsia="Cambria" w:hAnsiTheme="majorHAnsi"/>
          <w:b/>
          <w:bCs/>
          <w:color w:val="0F243E" w:themeColor="text2" w:themeShade="80"/>
        </w:rPr>
        <w:t xml:space="preserve">VERIFICA DEI CRITERI DELLA </w:t>
      </w:r>
      <w:r w:rsidR="00E67EDB">
        <w:rPr>
          <w:rFonts w:asciiTheme="majorHAnsi" w:eastAsia="Cambria" w:hAnsiTheme="majorHAnsi"/>
          <w:b/>
          <w:bCs/>
          <w:color w:val="0F243E" w:themeColor="text2" w:themeShade="80"/>
        </w:rPr>
        <w:t>GUIDA TECNICA 29</w:t>
      </w:r>
    </w:p>
    <w:p w14:paraId="0F2EABA4" w14:textId="77777777" w:rsidR="00BB7D64" w:rsidRDefault="00BB7D64" w:rsidP="00C1573A">
      <w:pPr>
        <w:tabs>
          <w:tab w:val="left" w:pos="4253"/>
          <w:tab w:val="left" w:pos="4962"/>
          <w:tab w:val="left" w:pos="5245"/>
        </w:tabs>
        <w:spacing w:line="276" w:lineRule="auto"/>
        <w:jc w:val="both"/>
        <w:rPr>
          <w:rFonts w:ascii="Arial" w:eastAsia="Cambria" w:hAnsi="Arial" w:cs="Arial"/>
          <w:bCs/>
          <w:color w:val="0F243E" w:themeColor="text2" w:themeShade="80"/>
          <w:sz w:val="20"/>
          <w:szCs w:val="20"/>
        </w:rPr>
      </w:pPr>
    </w:p>
    <w:p w14:paraId="19020D83" w14:textId="77777777" w:rsidR="00BB7D64" w:rsidRPr="00C1573A" w:rsidRDefault="00BB7D64" w:rsidP="00BB7D64">
      <w:pPr>
        <w:tabs>
          <w:tab w:val="left" w:pos="4253"/>
          <w:tab w:val="left" w:pos="4962"/>
          <w:tab w:val="left" w:pos="5245"/>
        </w:tabs>
        <w:spacing w:line="276" w:lineRule="auto"/>
        <w:jc w:val="both"/>
        <w:rPr>
          <w:rFonts w:ascii="Arial" w:eastAsia="Cambria" w:hAnsi="Arial" w:cs="Arial"/>
          <w:bCs/>
          <w:color w:val="0F243E" w:themeColor="text2" w:themeShade="80"/>
          <w:sz w:val="20"/>
          <w:szCs w:val="20"/>
        </w:rPr>
      </w:pPr>
      <w:r w:rsidRPr="00C1573A">
        <w:rPr>
          <w:rFonts w:ascii="Arial" w:eastAsia="Cambria" w:hAnsi="Arial" w:cs="Arial"/>
          <w:bCs/>
          <w:color w:val="0F243E" w:themeColor="text2" w:themeShade="80"/>
          <w:sz w:val="20"/>
          <w:szCs w:val="20"/>
        </w:rPr>
        <w:t>L'area individuata</w:t>
      </w:r>
      <w:r>
        <w:rPr>
          <w:rFonts w:ascii="Arial" w:eastAsia="Cambria" w:hAnsi="Arial" w:cs="Arial"/>
          <w:bCs/>
          <w:color w:val="0F243E" w:themeColor="text2" w:themeShade="80"/>
          <w:sz w:val="20"/>
          <w:szCs w:val="20"/>
        </w:rPr>
        <w:t xml:space="preserve"> </w:t>
      </w:r>
      <w:r w:rsidRPr="00C1573A">
        <w:rPr>
          <w:rFonts w:ascii="Arial" w:eastAsia="Cambria" w:hAnsi="Arial" w:cs="Arial"/>
          <w:bCs/>
          <w:color w:val="0F243E" w:themeColor="text2" w:themeShade="80"/>
          <w:sz w:val="20"/>
          <w:szCs w:val="20"/>
        </w:rPr>
        <w:t>con l'acronimo BA-5 è sita nel territorio del Comune di Gravina in Puglia, nella zona a sud ovest rispetto al centro cittadino. L'area dista 4,5 km dal nucleo della città, la quale ospita circa 44.000 abitanti, con una densità pari 113,7 ab/kmq di superficie.</w:t>
      </w:r>
    </w:p>
    <w:p w14:paraId="721D6E3C" w14:textId="77777777" w:rsidR="00C1573A" w:rsidRPr="00C1573A" w:rsidRDefault="00C1573A" w:rsidP="00C1573A">
      <w:pPr>
        <w:tabs>
          <w:tab w:val="left" w:pos="4253"/>
          <w:tab w:val="left" w:pos="4962"/>
          <w:tab w:val="left" w:pos="5245"/>
        </w:tabs>
        <w:spacing w:line="276" w:lineRule="auto"/>
        <w:jc w:val="both"/>
        <w:rPr>
          <w:rFonts w:ascii="Arial" w:eastAsia="Cambria" w:hAnsi="Arial" w:cs="Arial"/>
          <w:bCs/>
          <w:color w:val="0F243E" w:themeColor="text2" w:themeShade="80"/>
          <w:sz w:val="20"/>
          <w:szCs w:val="2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450125" w14:paraId="7B426BE8" w14:textId="77777777" w:rsidTr="00356BE7">
        <w:trPr>
          <w:trHeight w:val="567"/>
        </w:trPr>
        <w:tc>
          <w:tcPr>
            <w:tcW w:w="2943" w:type="dxa"/>
            <w:shd w:val="clear" w:color="auto" w:fill="333399"/>
            <w:vAlign w:val="center"/>
          </w:tcPr>
          <w:p w14:paraId="71D8B7BB" w14:textId="0391B107" w:rsidR="00450125" w:rsidRDefault="00E67EDB" w:rsidP="00356BE7">
            <w:pPr>
              <w:pStyle w:val="LABELOBBLIGATORI"/>
              <w:jc w:val="center"/>
            </w:pPr>
            <w:r w:rsidRPr="00E67EDB">
              <w:t>CRITERI</w:t>
            </w:r>
            <w:r>
              <w:t>O</w:t>
            </w:r>
            <w:r w:rsidRPr="00E67EDB">
              <w:t xml:space="preserve"> DI ESCLUSIONE</w:t>
            </w:r>
          </w:p>
        </w:tc>
        <w:tc>
          <w:tcPr>
            <w:tcW w:w="6266" w:type="dxa"/>
            <w:shd w:val="clear" w:color="auto" w:fill="B8CCE4" w:themeFill="accent1" w:themeFillTint="66"/>
            <w:vAlign w:val="center"/>
          </w:tcPr>
          <w:p w14:paraId="220D820A" w14:textId="77777777" w:rsidR="00450125" w:rsidRDefault="00450125" w:rsidP="00356BE7">
            <w:pPr>
              <w:pStyle w:val="LABELOBBLIGATORI"/>
              <w:jc w:val="center"/>
            </w:pPr>
            <w:r w:rsidRPr="00C24F6B">
              <w:rPr>
                <w:color w:val="0F243E" w:themeColor="text2" w:themeShade="80"/>
              </w:rPr>
              <w:t>COMMENTI</w:t>
            </w:r>
          </w:p>
        </w:tc>
      </w:tr>
      <w:tr w:rsidR="00E67EDB" w14:paraId="78C665B2" w14:textId="77777777" w:rsidTr="00356BE7">
        <w:trPr>
          <w:trHeight w:val="567"/>
        </w:trPr>
        <w:tc>
          <w:tcPr>
            <w:tcW w:w="2943" w:type="dxa"/>
            <w:vAlign w:val="center"/>
          </w:tcPr>
          <w:p w14:paraId="377FDDA8" w14:textId="03819660" w:rsidR="00E67EDB" w:rsidRDefault="00E67EDB" w:rsidP="00356BE7">
            <w:pPr>
              <w:pStyle w:val="LABELSEMPLICI"/>
            </w:pPr>
            <w:r w:rsidRPr="00E67EDB">
              <w:t xml:space="preserve">CE1. </w:t>
            </w:r>
            <w:r>
              <w:t xml:space="preserve">aree </w:t>
            </w:r>
            <w:r w:rsidRPr="00E67EDB">
              <w:t>vulcaniche attive o quiescenti</w:t>
            </w:r>
          </w:p>
        </w:tc>
        <w:tc>
          <w:tcPr>
            <w:tcW w:w="6266" w:type="dxa"/>
            <w:shd w:val="clear" w:color="auto" w:fill="FFFFFF"/>
            <w:vAlign w:val="center"/>
          </w:tcPr>
          <w:p w14:paraId="3F674B74" w14:textId="1E6B49C1" w:rsidR="00E67EDB" w:rsidRPr="00CF3FEC" w:rsidRDefault="008B6077" w:rsidP="005027AA">
            <w:pPr>
              <w:pStyle w:val="CAMPI"/>
              <w:spacing w:before="0" w:after="0" w:line="240" w:lineRule="auto"/>
              <w:jc w:val="both"/>
              <w:rPr>
                <w:rFonts w:cs="Arial"/>
                <w:sz w:val="20"/>
              </w:rPr>
            </w:pPr>
            <w:r w:rsidRPr="00CF3FEC">
              <w:rPr>
                <w:rFonts w:cs="Arial"/>
                <w:sz w:val="20"/>
              </w:rPr>
              <w:t>N</w:t>
            </w:r>
            <w:r w:rsidR="005027AA" w:rsidRPr="00CF3FEC">
              <w:rPr>
                <w:rFonts w:cs="Arial"/>
                <w:sz w:val="20"/>
              </w:rPr>
              <w:t>ONE</w:t>
            </w:r>
          </w:p>
        </w:tc>
      </w:tr>
      <w:tr w:rsidR="00E67EDB" w14:paraId="3A5F80BC" w14:textId="77777777" w:rsidTr="00356BE7">
        <w:trPr>
          <w:trHeight w:val="567"/>
        </w:trPr>
        <w:tc>
          <w:tcPr>
            <w:tcW w:w="2943" w:type="dxa"/>
            <w:vAlign w:val="center"/>
          </w:tcPr>
          <w:p w14:paraId="6E386595" w14:textId="5D51839D" w:rsidR="00E67EDB" w:rsidRDefault="00E67EDB" w:rsidP="00356BE7">
            <w:pPr>
              <w:pStyle w:val="LABELSEMPLICI"/>
            </w:pPr>
            <w:r w:rsidRPr="00E67EDB">
              <w:t xml:space="preserve">CE2. </w:t>
            </w:r>
            <w:r>
              <w:t xml:space="preserve">aree </w:t>
            </w:r>
            <w:r w:rsidRPr="00E67EDB">
              <w:t>contrassegnate da sismicità elevata</w:t>
            </w:r>
          </w:p>
        </w:tc>
        <w:tc>
          <w:tcPr>
            <w:tcW w:w="6266" w:type="dxa"/>
            <w:shd w:val="clear" w:color="auto" w:fill="FFFFFF"/>
            <w:vAlign w:val="center"/>
          </w:tcPr>
          <w:p w14:paraId="5B78846A" w14:textId="1675CA5B" w:rsidR="00862AB7" w:rsidRPr="00007F0B" w:rsidRDefault="00862AB7" w:rsidP="00CF3FEC">
            <w:pPr>
              <w:pStyle w:val="CAMPI"/>
              <w:spacing w:before="0" w:after="0" w:line="240" w:lineRule="auto"/>
              <w:jc w:val="both"/>
              <w:rPr>
                <w:rFonts w:cs="Arial"/>
                <w:sz w:val="20"/>
              </w:rPr>
            </w:pPr>
            <w:r w:rsidRPr="00007F0B">
              <w:rPr>
                <w:rFonts w:cs="Arial"/>
                <w:sz w:val="20"/>
              </w:rPr>
              <w:t xml:space="preserve">Manca un’analisi della sismicità storica e strumentale (Del Gaudio et al., 2005) e della risposta sismica di sito (Cosentino et al., 2013). </w:t>
            </w:r>
            <w:r w:rsidR="005027AA" w:rsidRPr="00007F0B">
              <w:rPr>
                <w:rFonts w:cs="Arial"/>
                <w:sz w:val="20"/>
              </w:rPr>
              <w:t xml:space="preserve">Dalla consultazione </w:t>
            </w:r>
            <w:r w:rsidR="00CF3FEC" w:rsidRPr="00007F0B">
              <w:rPr>
                <w:rFonts w:eastAsia="Calibri" w:cs="Arial"/>
                <w:sz w:val="20"/>
                <w:lang w:eastAsia="en-US"/>
              </w:rPr>
              <w:t>il</w:t>
            </w:r>
            <w:r w:rsidR="00CF3FEC" w:rsidRPr="00007F0B">
              <w:rPr>
                <w:rFonts w:eastAsia="Calibri" w:cs="Arial"/>
                <w:i/>
                <w:sz w:val="20"/>
                <w:lang w:eastAsia="en-US"/>
              </w:rPr>
              <w:t xml:space="preserve"> </w:t>
            </w:r>
            <w:r w:rsidR="00CF3FEC" w:rsidRPr="00007F0B">
              <w:rPr>
                <w:rFonts w:eastAsia="Calibri" w:cs="Arial"/>
                <w:b/>
                <w:i/>
                <w:sz w:val="20"/>
                <w:lang w:eastAsia="en-US"/>
              </w:rPr>
              <w:t>Catalogo Parametrico dei Terremoti Italiani 2015 “CPTI2015”</w:t>
            </w:r>
            <w:r w:rsidR="00CF3FEC" w:rsidRPr="00007F0B">
              <w:rPr>
                <w:rFonts w:eastAsia="Calibri" w:cs="Arial"/>
                <w:sz w:val="20"/>
                <w:lang w:eastAsia="en-US"/>
              </w:rPr>
              <w:t xml:space="preserve"> , realizzato dall’INGV e liberamente consultabile alla seguente pagina web: </w:t>
            </w:r>
            <w:hyperlink r:id="rId9" w:history="1">
              <w:r w:rsidR="00CF3FEC" w:rsidRPr="00007F0B">
                <w:rPr>
                  <w:rFonts w:eastAsia="Calibri" w:cs="Arial"/>
                  <w:sz w:val="20"/>
                  <w:u w:val="single"/>
                  <w:lang w:eastAsia="en-US"/>
                </w:rPr>
                <w:t>https://emidius.mi.ingv.it/CPTI15-DBMI15/</w:t>
              </w:r>
            </w:hyperlink>
            <w:r w:rsidR="00007F0B" w:rsidRPr="00007F0B">
              <w:rPr>
                <w:rFonts w:eastAsia="Calibri" w:cs="Arial"/>
                <w:sz w:val="20"/>
                <w:u w:val="single"/>
                <w:lang w:eastAsia="en-US"/>
              </w:rPr>
              <w:t xml:space="preserve"> </w:t>
            </w:r>
            <w:r w:rsidR="00CF3FEC" w:rsidRPr="00007F0B">
              <w:rPr>
                <w:rFonts w:eastAsia="Calibri" w:cs="Arial"/>
                <w:sz w:val="20"/>
                <w:lang w:eastAsia="en-US"/>
              </w:rPr>
              <w:t>si rileva che il comune di Gravina in Puglia ha risentito di eventi sismici caratterizzati da una intensità macros</w:t>
            </w:r>
            <w:r w:rsidR="00007F0B" w:rsidRPr="00007F0B">
              <w:rPr>
                <w:rFonts w:eastAsia="Calibri" w:cs="Arial"/>
                <w:sz w:val="20"/>
                <w:lang w:eastAsia="en-US"/>
              </w:rPr>
              <w:t>ismica fino a 7 della scala MCS</w:t>
            </w:r>
            <w:r w:rsidR="00CF3FEC" w:rsidRPr="00007F0B">
              <w:rPr>
                <w:rFonts w:cs="Arial"/>
                <w:sz w:val="20"/>
              </w:rPr>
              <w:t xml:space="preserve"> (Fig.</w:t>
            </w:r>
            <w:r w:rsidR="00CC7E9C" w:rsidRPr="00007F0B">
              <w:rPr>
                <w:rFonts w:cs="Arial"/>
                <w:sz w:val="20"/>
              </w:rPr>
              <w:t xml:space="preserve"> </w:t>
            </w:r>
            <w:r w:rsidR="00CF3FEC" w:rsidRPr="00007F0B">
              <w:rPr>
                <w:rFonts w:cs="Arial"/>
                <w:sz w:val="20"/>
              </w:rPr>
              <w:t>1).</w:t>
            </w:r>
          </w:p>
          <w:p w14:paraId="72685387" w14:textId="700D1992" w:rsidR="00007F0B" w:rsidRPr="00007F0B" w:rsidRDefault="00862AB7" w:rsidP="00CF3FEC">
            <w:pPr>
              <w:pStyle w:val="CAMPI"/>
              <w:spacing w:before="0" w:after="0" w:line="240" w:lineRule="auto"/>
              <w:jc w:val="both"/>
              <w:rPr>
                <w:rFonts w:cs="Arial"/>
                <w:sz w:val="20"/>
              </w:rPr>
            </w:pPr>
            <w:r w:rsidRPr="00007F0B">
              <w:rPr>
                <w:rFonts w:cs="Arial"/>
                <w:sz w:val="20"/>
              </w:rPr>
              <w:t>Valore di PGA con periodo di ritorno di 2475 anni: 0.188 g.</w:t>
            </w:r>
            <w:r w:rsidR="00007F0B" w:rsidRPr="00007F0B">
              <w:rPr>
                <w:rFonts w:cs="Arial"/>
                <w:sz w:val="20"/>
              </w:rPr>
              <w:t xml:space="preserve"> A tal proposito, si ricorda che il concetto di tempo di ritorno non indica una periodicità ma ha un significato probabilistico. </w:t>
            </w:r>
          </w:p>
          <w:p w14:paraId="443DF16A" w14:textId="3FE0B730" w:rsidR="00862AB7" w:rsidRPr="00007F0B" w:rsidRDefault="00862AB7" w:rsidP="00CF3FEC">
            <w:pPr>
              <w:pStyle w:val="CAMPI"/>
              <w:spacing w:before="0" w:after="0" w:line="240" w:lineRule="auto"/>
              <w:jc w:val="both"/>
              <w:rPr>
                <w:rFonts w:cs="Arial"/>
                <w:sz w:val="20"/>
              </w:rPr>
            </w:pPr>
            <w:r w:rsidRPr="00007F0B">
              <w:rPr>
                <w:rFonts w:cs="Arial"/>
                <w:sz w:val="20"/>
              </w:rPr>
              <w:t xml:space="preserve">Per quanto concerne la sismicità storica si veda la </w:t>
            </w:r>
            <w:proofErr w:type="spellStart"/>
            <w:r w:rsidRPr="00007F0B">
              <w:rPr>
                <w:rFonts w:cs="Arial"/>
                <w:sz w:val="20"/>
              </w:rPr>
              <w:t>Tab</w:t>
            </w:r>
            <w:proofErr w:type="spellEnd"/>
            <w:r w:rsidRPr="00007F0B">
              <w:rPr>
                <w:rFonts w:cs="Arial"/>
                <w:sz w:val="20"/>
              </w:rPr>
              <w:t>. 1 e la Fig.</w:t>
            </w:r>
            <w:r w:rsidR="00CC7E9C" w:rsidRPr="00007F0B">
              <w:rPr>
                <w:rFonts w:cs="Arial"/>
                <w:sz w:val="20"/>
              </w:rPr>
              <w:t xml:space="preserve"> </w:t>
            </w:r>
            <w:r w:rsidRPr="00007F0B">
              <w:rPr>
                <w:rFonts w:cs="Arial"/>
                <w:sz w:val="20"/>
              </w:rPr>
              <w:t>2</w:t>
            </w:r>
            <w:r w:rsidR="00007F0B" w:rsidRPr="00007F0B">
              <w:rPr>
                <w:rFonts w:cs="Arial"/>
                <w:sz w:val="20"/>
              </w:rPr>
              <w:t>.</w:t>
            </w:r>
          </w:p>
          <w:p w14:paraId="58E1B9EB" w14:textId="77777777" w:rsidR="00DC256A" w:rsidRDefault="00862AB7" w:rsidP="00DC256A">
            <w:pPr>
              <w:pStyle w:val="CAMPI"/>
              <w:spacing w:before="0" w:after="0" w:line="240" w:lineRule="auto"/>
              <w:jc w:val="both"/>
              <w:rPr>
                <w:sz w:val="20"/>
              </w:rPr>
            </w:pPr>
            <w:r w:rsidRPr="00007F0B">
              <w:rPr>
                <w:rFonts w:cs="Arial"/>
                <w:sz w:val="20"/>
              </w:rPr>
              <w:t>Dal 1 gennaio 1995 al 4 febbraio 2021 in un raggio di 30 km dal comune di Gravina sono stati registrati 703 eventi sismici, il più intenso il 9 novembre 2018 localizzato 3 km a NE dell’abitato ad una profondit</w:t>
            </w:r>
            <w:r w:rsidR="00007F0B" w:rsidRPr="00007F0B">
              <w:rPr>
                <w:rFonts w:cs="Arial"/>
                <w:sz w:val="20"/>
              </w:rPr>
              <w:t>à di 38 km con magnitudo ML 3.5</w:t>
            </w:r>
            <w:r w:rsidR="00CC7E9C" w:rsidRPr="00007F0B">
              <w:rPr>
                <w:rFonts w:cs="Arial"/>
                <w:sz w:val="20"/>
              </w:rPr>
              <w:t xml:space="preserve"> </w:t>
            </w:r>
            <w:r w:rsidRPr="00007F0B">
              <w:rPr>
                <w:rFonts w:cs="Arial"/>
                <w:sz w:val="20"/>
              </w:rPr>
              <w:t>(Fig.</w:t>
            </w:r>
            <w:r w:rsidR="00CC7E9C" w:rsidRPr="00007F0B">
              <w:rPr>
                <w:rFonts w:cs="Arial"/>
                <w:sz w:val="20"/>
              </w:rPr>
              <w:t xml:space="preserve"> </w:t>
            </w:r>
            <w:r w:rsidRPr="00007F0B">
              <w:rPr>
                <w:rFonts w:cs="Arial"/>
                <w:sz w:val="20"/>
              </w:rPr>
              <w:t>3)</w:t>
            </w:r>
            <w:r w:rsidR="00007F0B" w:rsidRPr="00007F0B">
              <w:rPr>
                <w:rFonts w:cs="Arial"/>
                <w:sz w:val="20"/>
              </w:rPr>
              <w:t>.</w:t>
            </w:r>
            <w:r w:rsidR="00DC256A" w:rsidRPr="00BF0050">
              <w:rPr>
                <w:sz w:val="20"/>
              </w:rPr>
              <w:t xml:space="preserve"> </w:t>
            </w:r>
          </w:p>
          <w:p w14:paraId="022C27E0" w14:textId="5D7AD569" w:rsidR="00DC256A" w:rsidRPr="00BF0050" w:rsidRDefault="00DC256A" w:rsidP="00DC256A">
            <w:pPr>
              <w:pStyle w:val="CAMPI"/>
              <w:spacing w:before="0" w:after="0" w:line="240" w:lineRule="auto"/>
              <w:jc w:val="both"/>
              <w:rPr>
                <w:sz w:val="20"/>
              </w:rPr>
            </w:pPr>
            <w:r>
              <w:rPr>
                <w:sz w:val="20"/>
              </w:rPr>
              <w:t>L’</w:t>
            </w:r>
            <w:r w:rsidRPr="00BF0050">
              <w:rPr>
                <w:sz w:val="20"/>
              </w:rPr>
              <w:t>attenta analisi dell’accelerazione di picco attesa nell’area del sito BA_</w:t>
            </w:r>
            <w:r>
              <w:rPr>
                <w:sz w:val="20"/>
              </w:rPr>
              <w:t>5</w:t>
            </w:r>
            <w:r w:rsidRPr="00BF0050">
              <w:rPr>
                <w:sz w:val="20"/>
              </w:rPr>
              <w:t xml:space="preserve"> viene imposta dalla vicinanza di tale sito alla struttura sismogenetica denominata Baragiano-Palagianello (Fig. 4) capace di terremoti fino a </w:t>
            </w:r>
            <w:proofErr w:type="spellStart"/>
            <w:r w:rsidRPr="00BF0050">
              <w:rPr>
                <w:sz w:val="20"/>
              </w:rPr>
              <w:t>Mw</w:t>
            </w:r>
            <w:proofErr w:type="spellEnd"/>
            <w:r w:rsidRPr="00BF0050">
              <w:rPr>
                <w:sz w:val="20"/>
              </w:rPr>
              <w:t xml:space="preserve"> 5.8 (DISS </w:t>
            </w:r>
            <w:proofErr w:type="spellStart"/>
            <w:r w:rsidRPr="00BF0050">
              <w:rPr>
                <w:sz w:val="20"/>
              </w:rPr>
              <w:t>Working</w:t>
            </w:r>
            <w:proofErr w:type="spellEnd"/>
            <w:r w:rsidRPr="00BF0050">
              <w:rPr>
                <w:sz w:val="20"/>
              </w:rPr>
              <w:t xml:space="preserve"> Group, 2018), anche in questo caso stimabile in valori sensibilmente maggiori di quelli riportati nella Relazione Tecnica.</w:t>
            </w:r>
          </w:p>
          <w:p w14:paraId="049DF227" w14:textId="73027265" w:rsidR="00007F0B" w:rsidRPr="00007F0B" w:rsidRDefault="00DC256A" w:rsidP="00DC256A">
            <w:pPr>
              <w:pStyle w:val="CAMPI"/>
              <w:spacing w:before="0" w:after="0" w:line="240" w:lineRule="auto"/>
              <w:jc w:val="both"/>
              <w:rPr>
                <w:rFonts w:cs="Arial"/>
                <w:sz w:val="20"/>
              </w:rPr>
            </w:pPr>
            <w:r w:rsidRPr="00BF0050">
              <w:rPr>
                <w:sz w:val="20"/>
              </w:rPr>
              <w:t xml:space="preserve">Infine, il sistema di faglie dominate da orientazione est-ovest del </w:t>
            </w:r>
            <w:proofErr w:type="spellStart"/>
            <w:r w:rsidRPr="00BF0050">
              <w:rPr>
                <w:sz w:val="20"/>
              </w:rPr>
              <w:t>Graben</w:t>
            </w:r>
            <w:proofErr w:type="spellEnd"/>
            <w:r w:rsidRPr="00BF0050">
              <w:rPr>
                <w:sz w:val="20"/>
              </w:rPr>
              <w:t xml:space="preserve"> di </w:t>
            </w:r>
            <w:proofErr w:type="spellStart"/>
            <w:r w:rsidRPr="00BF0050">
              <w:rPr>
                <w:sz w:val="20"/>
              </w:rPr>
              <w:t>Viglione</w:t>
            </w:r>
            <w:proofErr w:type="spellEnd"/>
            <w:r w:rsidRPr="00BF0050">
              <w:rPr>
                <w:sz w:val="20"/>
              </w:rPr>
              <w:t xml:space="preserve"> (Fig. 5) (</w:t>
            </w:r>
            <w:proofErr w:type="spellStart"/>
            <w:r w:rsidRPr="00BF0050">
              <w:rPr>
                <w:sz w:val="20"/>
              </w:rPr>
              <w:t>Ciaranfi</w:t>
            </w:r>
            <w:proofErr w:type="spellEnd"/>
            <w:r w:rsidRPr="00BF0050">
              <w:rPr>
                <w:sz w:val="20"/>
              </w:rPr>
              <w:t xml:space="preserve"> et al., 1983) come ragionevole prosecuzione verso est, a partire da Baragiano, di una più complessa struttura sismogenetica capace comunque di terremoti fino a </w:t>
            </w:r>
            <w:proofErr w:type="spellStart"/>
            <w:r w:rsidRPr="00BF0050">
              <w:rPr>
                <w:sz w:val="20"/>
              </w:rPr>
              <w:t>Mw</w:t>
            </w:r>
            <w:proofErr w:type="spellEnd"/>
            <w:r w:rsidRPr="00BF0050">
              <w:rPr>
                <w:sz w:val="20"/>
              </w:rPr>
              <w:t xml:space="preserve"> 5.8 (DISS </w:t>
            </w:r>
            <w:proofErr w:type="spellStart"/>
            <w:r w:rsidRPr="00BF0050">
              <w:rPr>
                <w:sz w:val="20"/>
              </w:rPr>
              <w:t>Working</w:t>
            </w:r>
            <w:proofErr w:type="spellEnd"/>
            <w:r w:rsidRPr="00BF0050">
              <w:rPr>
                <w:sz w:val="20"/>
              </w:rPr>
              <w:t xml:space="preserve"> Group, 2018), porta ad una immediata esclusione dell’area del sito BA_MT-4.</w:t>
            </w:r>
          </w:p>
        </w:tc>
      </w:tr>
      <w:tr w:rsidR="00E67EDB" w14:paraId="2910CDE9" w14:textId="77777777" w:rsidTr="00356BE7">
        <w:trPr>
          <w:trHeight w:val="567"/>
        </w:trPr>
        <w:tc>
          <w:tcPr>
            <w:tcW w:w="2943" w:type="dxa"/>
            <w:vAlign w:val="center"/>
          </w:tcPr>
          <w:p w14:paraId="7CDA7978" w14:textId="1B32F8DA" w:rsidR="00E67EDB" w:rsidRDefault="00E67EDB" w:rsidP="00356BE7">
            <w:pPr>
              <w:pStyle w:val="LABELSEMPLICI"/>
            </w:pPr>
            <w:r w:rsidRPr="00E67EDB">
              <w:t xml:space="preserve">CE3. </w:t>
            </w:r>
            <w:r>
              <w:t xml:space="preserve">aree </w:t>
            </w:r>
            <w:r w:rsidRPr="00E67EDB">
              <w:t xml:space="preserve">interessate da fenomeni di </w:t>
            </w:r>
            <w:proofErr w:type="spellStart"/>
            <w:r w:rsidRPr="00E67EDB">
              <w:t>fagliazione</w:t>
            </w:r>
            <w:proofErr w:type="spellEnd"/>
          </w:p>
        </w:tc>
        <w:tc>
          <w:tcPr>
            <w:tcW w:w="6266" w:type="dxa"/>
            <w:shd w:val="clear" w:color="auto" w:fill="FFFFFF"/>
            <w:vAlign w:val="center"/>
          </w:tcPr>
          <w:p w14:paraId="13F8BC6E" w14:textId="77777777" w:rsidR="00DC256A" w:rsidRDefault="00DC256A" w:rsidP="00CF3FEC">
            <w:pPr>
              <w:pStyle w:val="CAMPI"/>
              <w:spacing w:before="0" w:after="0" w:line="240" w:lineRule="auto"/>
              <w:jc w:val="both"/>
              <w:rPr>
                <w:sz w:val="20"/>
              </w:rPr>
            </w:pPr>
            <w:r w:rsidRPr="00BF0050">
              <w:rPr>
                <w:sz w:val="20"/>
              </w:rPr>
              <w:t xml:space="preserve">La ricerca di nette evidenze di </w:t>
            </w:r>
            <w:proofErr w:type="spellStart"/>
            <w:r w:rsidRPr="00BF0050">
              <w:rPr>
                <w:sz w:val="20"/>
              </w:rPr>
              <w:t>fagliazione</w:t>
            </w:r>
            <w:proofErr w:type="spellEnd"/>
            <w:r w:rsidRPr="00BF0050">
              <w:rPr>
                <w:sz w:val="20"/>
              </w:rPr>
              <w:t xml:space="preserve"> nell’area del sito BA_MT-4 può risultare particolarmente difficoltosa a causa delle seguenti due ragioni: (i) La successione pleistocenica è dominata da argille a comportamento plastico, che verosimilmente si deformano con blande pieghe per propagazione di faglie che rigettano il substrato rigido carbonatico cretaceo; (ii) Processi erosivi in atto regolarizzano facilmente i dislivelli morfo-strutturali data la bassa resistenza all’erosione della successione pleistocenica. Quindi, la presenza di faglie nell’area, come riportato in letteratura (</w:t>
            </w:r>
            <w:proofErr w:type="spellStart"/>
            <w:r w:rsidRPr="00BF0050">
              <w:rPr>
                <w:sz w:val="20"/>
              </w:rPr>
              <w:t>Ciaranfi</w:t>
            </w:r>
            <w:proofErr w:type="spellEnd"/>
            <w:r w:rsidRPr="00BF0050">
              <w:rPr>
                <w:sz w:val="20"/>
              </w:rPr>
              <w:t xml:space="preserve"> et al., 1983; Tropeano et al., 1994; </w:t>
            </w:r>
            <w:proofErr w:type="spellStart"/>
            <w:r w:rsidRPr="00BF0050">
              <w:rPr>
                <w:sz w:val="20"/>
              </w:rPr>
              <w:t>Beneduce</w:t>
            </w:r>
            <w:proofErr w:type="spellEnd"/>
            <w:r w:rsidRPr="00BF0050">
              <w:rPr>
                <w:sz w:val="20"/>
              </w:rPr>
              <w:t xml:space="preserve"> et al., 2004), capaci di una frequente sismicità con terremoti di magnitudo superiore a 3 (Del Gaudio et al., 2005; DISS </w:t>
            </w:r>
            <w:proofErr w:type="spellStart"/>
            <w:r w:rsidRPr="00BF0050">
              <w:rPr>
                <w:sz w:val="20"/>
              </w:rPr>
              <w:t>Working</w:t>
            </w:r>
            <w:proofErr w:type="spellEnd"/>
            <w:r w:rsidRPr="00BF0050">
              <w:rPr>
                <w:sz w:val="20"/>
              </w:rPr>
              <w:t xml:space="preserve"> Group, 2018; INGV, 2021), può nascondere fenomeni di </w:t>
            </w:r>
            <w:proofErr w:type="spellStart"/>
            <w:r w:rsidRPr="00BF0050">
              <w:rPr>
                <w:sz w:val="20"/>
              </w:rPr>
              <w:t>fagliazione</w:t>
            </w:r>
            <w:proofErr w:type="spellEnd"/>
            <w:r w:rsidRPr="00BF0050">
              <w:rPr>
                <w:sz w:val="20"/>
              </w:rPr>
              <w:t xml:space="preserve"> come criteri e esclusione. </w:t>
            </w:r>
          </w:p>
          <w:p w14:paraId="4EB9412A" w14:textId="7DDCA026" w:rsidR="00007F0B" w:rsidRPr="00007F0B" w:rsidRDefault="00CF3FEC" w:rsidP="00CF3FEC">
            <w:pPr>
              <w:pStyle w:val="CAMPI"/>
              <w:spacing w:before="0" w:after="0" w:line="240" w:lineRule="auto"/>
              <w:jc w:val="both"/>
              <w:rPr>
                <w:sz w:val="20"/>
              </w:rPr>
            </w:pPr>
            <w:r w:rsidRPr="00007F0B">
              <w:rPr>
                <w:rFonts w:cs="Arial"/>
                <w:sz w:val="20"/>
              </w:rPr>
              <w:t xml:space="preserve">Consultando il </w:t>
            </w:r>
            <w:r w:rsidRPr="00007F0B">
              <w:rPr>
                <w:rFonts w:eastAsia="Calibri" w:cs="Arial"/>
                <w:sz w:val="20"/>
                <w:lang w:eastAsia="en-US"/>
              </w:rPr>
              <w:t>Database delle Sorgenti Sismogenetiche Individuali (DISS) dell’INGV</w:t>
            </w:r>
            <w:r w:rsidRPr="00007F0B">
              <w:rPr>
                <w:rFonts w:cs="Arial"/>
                <w:sz w:val="20"/>
              </w:rPr>
              <w:t xml:space="preserve"> si evince che i</w:t>
            </w:r>
            <w:r w:rsidR="008B6077" w:rsidRPr="00007F0B">
              <w:rPr>
                <w:rFonts w:cs="Arial"/>
                <w:sz w:val="20"/>
              </w:rPr>
              <w:t xml:space="preserve">l sito è a circa 9.5 km dalla Faglia Sismogenetica ITCS005 Baragiano-Palagianello, identificata come “Composite </w:t>
            </w:r>
            <w:proofErr w:type="spellStart"/>
            <w:r w:rsidR="008B6077" w:rsidRPr="00007F0B">
              <w:rPr>
                <w:rFonts w:cs="Arial"/>
                <w:sz w:val="20"/>
              </w:rPr>
              <w:t>Seismogenic</w:t>
            </w:r>
            <w:proofErr w:type="spellEnd"/>
            <w:r w:rsidR="008B6077" w:rsidRPr="00007F0B">
              <w:rPr>
                <w:rFonts w:cs="Arial"/>
                <w:sz w:val="20"/>
              </w:rPr>
              <w:t xml:space="preserve"> </w:t>
            </w:r>
            <w:proofErr w:type="spellStart"/>
            <w:r w:rsidR="008B6077" w:rsidRPr="00007F0B">
              <w:rPr>
                <w:rFonts w:cs="Arial"/>
                <w:sz w:val="20"/>
              </w:rPr>
              <w:t>Sources</w:t>
            </w:r>
            <w:proofErr w:type="spellEnd"/>
            <w:r w:rsidR="008B6077" w:rsidRPr="00007F0B">
              <w:rPr>
                <w:rFonts w:cs="Arial"/>
                <w:sz w:val="20"/>
              </w:rPr>
              <w:t>” (Sorgente sismo genetica composita</w:t>
            </w:r>
            <w:r w:rsidR="00007F0B" w:rsidRPr="00007F0B">
              <w:rPr>
                <w:rFonts w:cs="Arial"/>
                <w:sz w:val="20"/>
              </w:rPr>
              <w:t xml:space="preserve">) </w:t>
            </w:r>
            <w:r w:rsidR="008B6077" w:rsidRPr="00007F0B">
              <w:rPr>
                <w:rFonts w:cs="Arial"/>
                <w:sz w:val="20"/>
              </w:rPr>
              <w:t>(</w:t>
            </w:r>
            <w:hyperlink r:id="rId10" w:history="1">
              <w:r w:rsidR="008B6077" w:rsidRPr="00007F0B">
                <w:rPr>
                  <w:rFonts w:eastAsia="Calibri" w:cs="Arial"/>
                  <w:sz w:val="20"/>
                  <w:u w:val="single"/>
                  <w:lang w:eastAsia="en-US"/>
                </w:rPr>
                <w:t>http://diss.rm.ingv.it/dissnet/CadmoDriver?_action_do_single=1&amp;_state=find&amp;_token=NULLNULLNULLNULL&amp;_tabber=1&amp;_page=pSASources_d&amp;IDSource=ITCS005</w:t>
              </w:r>
            </w:hyperlink>
            <w:r w:rsidR="00007F0B" w:rsidRPr="00007F0B">
              <w:rPr>
                <w:rFonts w:eastAsia="Calibri" w:cs="Arial"/>
                <w:sz w:val="20"/>
                <w:lang w:eastAsia="en-US"/>
              </w:rPr>
              <w:t xml:space="preserve">) </w:t>
            </w:r>
            <w:r w:rsidR="00007F0B" w:rsidRPr="00007F0B">
              <w:rPr>
                <w:sz w:val="20"/>
              </w:rPr>
              <w:t>(Fig. 4).</w:t>
            </w:r>
          </w:p>
          <w:p w14:paraId="184C1A6B" w14:textId="7D5274A9" w:rsidR="00CD0802" w:rsidRPr="00007F0B" w:rsidRDefault="00BB7D64" w:rsidP="00CF3FEC">
            <w:pPr>
              <w:pStyle w:val="CAMPI"/>
              <w:spacing w:before="0" w:after="0" w:line="240" w:lineRule="auto"/>
              <w:jc w:val="both"/>
              <w:rPr>
                <w:rFonts w:eastAsia="Calibri" w:cs="Arial"/>
                <w:sz w:val="20"/>
                <w:lang w:eastAsia="en-US"/>
              </w:rPr>
            </w:pPr>
            <w:r w:rsidRPr="00BB7D64">
              <w:rPr>
                <w:rFonts w:eastAsia="Calibri" w:cs="Arial"/>
                <w:sz w:val="20"/>
                <w:lang w:eastAsia="en-US"/>
              </w:rPr>
              <w:t>È</w:t>
            </w:r>
            <w:r w:rsidR="00F95985" w:rsidRPr="00007F0B">
              <w:rPr>
                <w:rFonts w:eastAsia="Calibri" w:cs="Arial"/>
                <w:sz w:val="20"/>
                <w:lang w:eastAsia="en-US"/>
              </w:rPr>
              <w:t xml:space="preserve"> noto che nei suddetti cataloghi sono ripor</w:t>
            </w:r>
            <w:r w:rsidR="00007F0B" w:rsidRPr="00007F0B">
              <w:rPr>
                <w:rFonts w:eastAsia="Calibri" w:cs="Arial"/>
                <w:sz w:val="20"/>
                <w:lang w:eastAsia="en-US"/>
              </w:rPr>
              <w:t>tati solo le faglie sismogeneti</w:t>
            </w:r>
            <w:r w:rsidR="00F95985" w:rsidRPr="00007F0B">
              <w:rPr>
                <w:rFonts w:eastAsia="Calibri" w:cs="Arial"/>
                <w:sz w:val="20"/>
                <w:lang w:eastAsia="en-US"/>
              </w:rPr>
              <w:t>che di carattere regionale e che il cat</w:t>
            </w:r>
            <w:r w:rsidR="00007F0B" w:rsidRPr="00007F0B">
              <w:rPr>
                <w:rFonts w:eastAsia="Calibri" w:cs="Arial"/>
                <w:sz w:val="20"/>
                <w:lang w:eastAsia="en-US"/>
              </w:rPr>
              <w:t xml:space="preserve">alogo viene aggiornato </w:t>
            </w:r>
            <w:r w:rsidR="00007F0B" w:rsidRPr="00007F0B">
              <w:rPr>
                <w:rFonts w:eastAsia="Calibri" w:cs="Arial"/>
                <w:sz w:val="20"/>
                <w:lang w:eastAsia="en-US"/>
              </w:rPr>
              <w:lastRenderedPageBreak/>
              <w:t>continua</w:t>
            </w:r>
            <w:r w:rsidR="00F95985" w:rsidRPr="00007F0B">
              <w:rPr>
                <w:rFonts w:eastAsia="Calibri" w:cs="Arial"/>
                <w:sz w:val="20"/>
                <w:lang w:eastAsia="en-US"/>
              </w:rPr>
              <w:t>mente.</w:t>
            </w:r>
            <w:r w:rsidR="00007F0B" w:rsidRPr="00007F0B">
              <w:rPr>
                <w:rFonts w:eastAsia="Calibri" w:cs="Arial"/>
                <w:sz w:val="20"/>
                <w:lang w:eastAsia="en-US"/>
              </w:rPr>
              <w:t xml:space="preserve"> </w:t>
            </w:r>
            <w:r w:rsidR="00F95985" w:rsidRPr="00007F0B">
              <w:rPr>
                <w:rFonts w:eastAsia="Calibri" w:cs="Arial"/>
                <w:sz w:val="20"/>
                <w:lang w:eastAsia="en-US"/>
              </w:rPr>
              <w:t>Da consultare appare anche la Carta Neotettonica d’Italia</w:t>
            </w:r>
            <w:r w:rsidR="00007F0B">
              <w:rPr>
                <w:rFonts w:eastAsia="Calibri" w:cs="Arial"/>
                <w:sz w:val="20"/>
                <w:lang w:eastAsia="en-US"/>
              </w:rPr>
              <w:t xml:space="preserve"> (Fig. 5)</w:t>
            </w:r>
            <w:r w:rsidR="00CD0802" w:rsidRPr="00007F0B">
              <w:rPr>
                <w:rFonts w:eastAsia="Calibri" w:cs="Arial"/>
                <w:sz w:val="20"/>
                <w:lang w:eastAsia="en-US"/>
              </w:rPr>
              <w:t xml:space="preserve">. </w:t>
            </w:r>
          </w:p>
          <w:p w14:paraId="72333F15" w14:textId="7529D7FF" w:rsidR="00F95985" w:rsidRDefault="00CD0802" w:rsidP="00CF3FEC">
            <w:pPr>
              <w:pStyle w:val="CAMPI"/>
              <w:spacing w:before="0" w:after="0" w:line="240" w:lineRule="auto"/>
              <w:jc w:val="both"/>
              <w:rPr>
                <w:rFonts w:eastAsia="Calibri" w:cs="Arial"/>
                <w:sz w:val="20"/>
                <w:lang w:eastAsia="en-US"/>
              </w:rPr>
            </w:pPr>
            <w:r w:rsidRPr="00007F0B">
              <w:rPr>
                <w:rFonts w:eastAsia="Calibri" w:cs="Arial"/>
                <w:sz w:val="20"/>
                <w:lang w:eastAsia="en-US"/>
              </w:rPr>
              <w:t xml:space="preserve">Inoltre, potenziali emergenze legate a </w:t>
            </w:r>
            <w:proofErr w:type="spellStart"/>
            <w:r w:rsidRPr="00007F0B">
              <w:rPr>
                <w:rFonts w:eastAsia="Calibri" w:cs="Arial"/>
                <w:sz w:val="20"/>
                <w:lang w:eastAsia="en-US"/>
              </w:rPr>
              <w:t>fagliazione</w:t>
            </w:r>
            <w:proofErr w:type="spellEnd"/>
            <w:r w:rsidRPr="00007F0B">
              <w:rPr>
                <w:rFonts w:eastAsia="Calibri" w:cs="Arial"/>
                <w:sz w:val="20"/>
                <w:lang w:eastAsia="en-US"/>
              </w:rPr>
              <w:t xml:space="preserve"> sono costituite dalla presenza dei cosiddetti “</w:t>
            </w:r>
            <w:proofErr w:type="spellStart"/>
            <w:r w:rsidRPr="00007F0B">
              <w:rPr>
                <w:rFonts w:eastAsia="Calibri" w:cs="Arial"/>
                <w:sz w:val="20"/>
                <w:lang w:eastAsia="en-US"/>
              </w:rPr>
              <w:t>vulcanelli</w:t>
            </w:r>
            <w:proofErr w:type="spellEnd"/>
            <w:r w:rsidRPr="00007F0B">
              <w:rPr>
                <w:rFonts w:eastAsia="Calibri" w:cs="Arial"/>
                <w:sz w:val="20"/>
                <w:lang w:eastAsia="en-US"/>
              </w:rPr>
              <w:t xml:space="preserve"> di</w:t>
            </w:r>
            <w:r w:rsidR="00007F0B">
              <w:rPr>
                <w:rFonts w:eastAsia="Calibri" w:cs="Arial"/>
                <w:sz w:val="20"/>
                <w:lang w:eastAsia="en-US"/>
              </w:rPr>
              <w:t xml:space="preserve"> fango” per i quali si rimanda </w:t>
            </w:r>
            <w:r w:rsidRPr="00007F0B">
              <w:rPr>
                <w:rFonts w:eastAsia="Calibri" w:cs="Arial"/>
                <w:sz w:val="20"/>
                <w:lang w:eastAsia="en-US"/>
              </w:rPr>
              <w:t>al CA8.</w:t>
            </w:r>
          </w:p>
          <w:p w14:paraId="6472F43E" w14:textId="54A9B7BF" w:rsidR="00007F0B" w:rsidRPr="00007F0B" w:rsidRDefault="00007F0B" w:rsidP="00007F0B">
            <w:pPr>
              <w:pStyle w:val="CAMPI"/>
              <w:spacing w:before="0" w:after="0" w:line="240" w:lineRule="auto"/>
              <w:jc w:val="both"/>
              <w:rPr>
                <w:rFonts w:cs="Arial"/>
                <w:sz w:val="20"/>
              </w:rPr>
            </w:pPr>
            <w:r w:rsidRPr="00CC7E9C">
              <w:rPr>
                <w:rFonts w:cs="Arial"/>
                <w:sz w:val="20"/>
              </w:rPr>
              <w:t xml:space="preserve">Questi </w:t>
            </w:r>
            <w:r>
              <w:rPr>
                <w:rFonts w:cs="Arial"/>
                <w:sz w:val="20"/>
              </w:rPr>
              <w:t>caratteri</w:t>
            </w:r>
            <w:r w:rsidRPr="00CC7E9C">
              <w:rPr>
                <w:rFonts w:cs="Arial"/>
                <w:sz w:val="20"/>
              </w:rPr>
              <w:t xml:space="preserve"> indicano tutti incipiente pericolosità </w:t>
            </w:r>
            <w:r>
              <w:rPr>
                <w:rFonts w:cs="Arial"/>
                <w:sz w:val="20"/>
              </w:rPr>
              <w:t>e quindi suggeriscono l’esclusione del sito</w:t>
            </w:r>
            <w:r w:rsidRPr="00CC7E9C">
              <w:rPr>
                <w:rFonts w:cs="Arial"/>
                <w:sz w:val="20"/>
              </w:rPr>
              <w:t>.</w:t>
            </w:r>
          </w:p>
        </w:tc>
      </w:tr>
      <w:tr w:rsidR="00EA4CF1" w14:paraId="34BFFC6C" w14:textId="77777777" w:rsidTr="00F95985">
        <w:trPr>
          <w:trHeight w:val="901"/>
        </w:trPr>
        <w:tc>
          <w:tcPr>
            <w:tcW w:w="2943" w:type="dxa"/>
            <w:vAlign w:val="center"/>
          </w:tcPr>
          <w:p w14:paraId="04B81FE4" w14:textId="0D817C5E" w:rsidR="00EA4CF1" w:rsidRDefault="00EA4CF1" w:rsidP="005027AA">
            <w:pPr>
              <w:pStyle w:val="LABELSEMPLICI"/>
            </w:pPr>
            <w:r w:rsidRPr="00E67EDB">
              <w:lastRenderedPageBreak/>
              <w:t xml:space="preserve">CE4. </w:t>
            </w:r>
            <w:r>
              <w:t xml:space="preserve">aree </w:t>
            </w:r>
            <w:r w:rsidRPr="00E67EDB">
              <w:t>caratterizzate da rischio e/o pericolosità geomorfologica e/o idraulica di qualsiasi grado e le fasce fluviali</w:t>
            </w:r>
          </w:p>
        </w:tc>
        <w:tc>
          <w:tcPr>
            <w:tcW w:w="6266" w:type="dxa"/>
            <w:shd w:val="clear" w:color="auto" w:fill="FFFFFF"/>
            <w:vAlign w:val="center"/>
          </w:tcPr>
          <w:p w14:paraId="736D4C4C" w14:textId="433FB526" w:rsidR="00EA4CF1" w:rsidRPr="00EA4CF1" w:rsidRDefault="00EA4CF1">
            <w:pPr>
              <w:pStyle w:val="CAMPI"/>
              <w:spacing w:before="0" w:after="0" w:line="240" w:lineRule="auto"/>
              <w:jc w:val="both"/>
              <w:rPr>
                <w:rFonts w:cs="Arial"/>
                <w:sz w:val="20"/>
              </w:rPr>
            </w:pPr>
            <w:r w:rsidRPr="00EA4CF1">
              <w:rPr>
                <w:rFonts w:cs="Arial"/>
                <w:sz w:val="20"/>
              </w:rPr>
              <w:t>L</w:t>
            </w:r>
            <w:r w:rsidR="005027AA">
              <w:rPr>
                <w:rFonts w:cs="Arial"/>
                <w:sz w:val="20"/>
              </w:rPr>
              <w:t>’</w:t>
            </w:r>
            <w:r w:rsidRPr="00EA4CF1">
              <w:rPr>
                <w:rFonts w:cs="Arial"/>
                <w:sz w:val="20"/>
              </w:rPr>
              <w:t>API ricad</w:t>
            </w:r>
            <w:r w:rsidR="005027AA">
              <w:rPr>
                <w:rFonts w:cs="Arial"/>
                <w:sz w:val="20"/>
              </w:rPr>
              <w:t>e</w:t>
            </w:r>
            <w:r w:rsidRPr="00EA4CF1">
              <w:rPr>
                <w:rFonts w:cs="Arial"/>
                <w:sz w:val="20"/>
              </w:rPr>
              <w:t xml:space="preserve"> in “Alveo fluviale in modellamento attivo ed aree golenali” (art.6 delle NTA del PAI) ed all’interno delle “fasce di pertinenza fluviale” (art.10 delle NTA del PAI), definite dal reticolo idrografico della Carta </w:t>
            </w:r>
            <w:proofErr w:type="spellStart"/>
            <w:r w:rsidRPr="00EA4CF1">
              <w:rPr>
                <w:rFonts w:cs="Arial"/>
                <w:sz w:val="20"/>
              </w:rPr>
              <w:t>Idrogeomorfologica</w:t>
            </w:r>
            <w:proofErr w:type="spellEnd"/>
            <w:r w:rsidRPr="00EA4CF1">
              <w:rPr>
                <w:rFonts w:cs="Arial"/>
                <w:sz w:val="20"/>
              </w:rPr>
              <w:t xml:space="preserve"> allegata al PAI; pertanto, è necessario acquisire il parere da parte dell’Autorità di Bacino Distrettuale dell’Appennino Meridionale previa redazione di studio di compatibilità idrologica ed idraulica. </w:t>
            </w:r>
          </w:p>
          <w:p w14:paraId="5C0829C9" w14:textId="5F5274F9" w:rsidR="00CF3FEC" w:rsidRPr="00CC7E9C" w:rsidRDefault="00EA4CF1">
            <w:pPr>
              <w:pStyle w:val="CAMPI"/>
              <w:spacing w:before="0" w:after="0" w:line="240" w:lineRule="auto"/>
              <w:jc w:val="both"/>
              <w:rPr>
                <w:rFonts w:cs="Arial"/>
                <w:sz w:val="20"/>
              </w:rPr>
            </w:pPr>
            <w:r w:rsidRPr="00EA4CF1">
              <w:rPr>
                <w:rFonts w:cs="Arial"/>
                <w:sz w:val="20"/>
              </w:rPr>
              <w:t>Considerato che l’individuazione dell’alveo in modellamento attivo (di cui all’art.36 delle Norme Tecniche di Attuazione del PAI della Puglia) definito dal reticolo idrografico ha subito l’avvicendarsi di una complessa e stratificata normativa in tema di tutela delle acque pubbliche ed in tema di tutela del paesaggio, sia a livello statale che a livello regionale, è possibile fare riferimento alla recente D.G.R. 8 ottobre 2020, n.1675 “Individuazione dell’Alveo fluviale in modellamento attivo come definito dall’art. 36 delle Norme Tecniche di Attuazione del Piano Assetto Idrogeologico Puglia. Indirizzi applicativi e chiarimenti”. Rilevato che i reticoli presenti all’interno delle 5 API pugliesi sono classificati come “reticoli minori” trova applicazione il punto 2.b che stabilisce “per il reticolo minore, ovvero per i corsi d’acqua che non risultano iscritti nel registro delle acque pubbliche di cui al R.D. n. 1775/1933, l’alveo fluviale in modellamento attivo è definito dalla porzione di terreno a distanza planimetrica, sia in destra che in sinistra idraulica, di 100 m rispetto dal ciglio spondale dell’alveo o dal piede dell’argine ove presente, ovvero dall’asse del corso d’acqua nei casi di sponde variabili od incerte”. Inoltre il punto 4 stabilisce che “oltre il li</w:t>
            </w:r>
            <w:r w:rsidRPr="00CC7E9C">
              <w:rPr>
                <w:rFonts w:cs="Arial"/>
                <w:sz w:val="20"/>
              </w:rPr>
              <w:t>mite areale dell’alveo fluviale in modellamento attivo, come su individuato, trovano applicazione le norme d’uso previste dagli strumenti di governo del territorio” (fasce di pertinenza</w:t>
            </w:r>
            <w:r w:rsidRPr="00CC7E9C">
              <w:t xml:space="preserve"> </w:t>
            </w:r>
            <w:r w:rsidRPr="00CC7E9C">
              <w:rPr>
                <w:rFonts w:cs="Arial"/>
                <w:sz w:val="20"/>
              </w:rPr>
              <w:t>fluviale).</w:t>
            </w:r>
            <w:r w:rsidR="00BC4DD3">
              <w:rPr>
                <w:rFonts w:cs="Arial"/>
                <w:sz w:val="20"/>
              </w:rPr>
              <w:t xml:space="preserve"> Da menzionare, nelle immediate vicinanze del sito</w:t>
            </w:r>
            <w:r w:rsidR="00A61E52">
              <w:rPr>
                <w:rFonts w:cs="Arial"/>
                <w:sz w:val="20"/>
              </w:rPr>
              <w:t>, la presenza del</w:t>
            </w:r>
            <w:r w:rsidR="00BC4DD3" w:rsidRPr="00BC4DD3">
              <w:rPr>
                <w:rFonts w:cs="Arial"/>
                <w:sz w:val="20"/>
              </w:rPr>
              <w:t xml:space="preserve"> Torrente </w:t>
            </w:r>
            <w:proofErr w:type="spellStart"/>
            <w:r w:rsidR="00BC4DD3" w:rsidRPr="00BC4DD3">
              <w:rPr>
                <w:rFonts w:cs="Arial"/>
                <w:sz w:val="20"/>
              </w:rPr>
              <w:t>Pentecchia</w:t>
            </w:r>
            <w:proofErr w:type="spellEnd"/>
            <w:r w:rsidR="00BC4DD3" w:rsidRPr="00BC4DD3">
              <w:rPr>
                <w:rFonts w:cs="Arial"/>
                <w:sz w:val="20"/>
              </w:rPr>
              <w:t>, interessato da un progetto esecutivo relativo ad interventi di messa in sicurezza dell'area interessata dal Torrente, a seguito di crollo del ponte sul medesimo, avvenuto nel febbraio 2007 dopo un copioso evento meteorico. N</w:t>
            </w:r>
            <w:r w:rsidR="00A61E52">
              <w:rPr>
                <w:rFonts w:cs="Arial"/>
                <w:sz w:val="20"/>
              </w:rPr>
              <w:t>el merito del suddetto progetto</w:t>
            </w:r>
            <w:r w:rsidR="00BC4DD3" w:rsidRPr="00BC4DD3">
              <w:rPr>
                <w:rFonts w:cs="Arial"/>
                <w:sz w:val="20"/>
              </w:rPr>
              <w:t>, "l'Autorità di Bacino della Basilicata, competent</w:t>
            </w:r>
            <w:r w:rsidR="00BC4DD3">
              <w:rPr>
                <w:rFonts w:cs="Arial"/>
                <w:sz w:val="20"/>
              </w:rPr>
              <w:t xml:space="preserve">e per territorio, comunicava al </w:t>
            </w:r>
            <w:r w:rsidR="00BC4DD3" w:rsidRPr="00BC4DD3">
              <w:rPr>
                <w:rFonts w:cs="Arial"/>
                <w:sz w:val="20"/>
              </w:rPr>
              <w:t xml:space="preserve">Comune di Gravina in Puglia in data 03/12/2009 che " ... </w:t>
            </w:r>
            <w:r w:rsidR="00A61E52">
              <w:rPr>
                <w:rFonts w:cs="Arial"/>
                <w:sz w:val="20"/>
              </w:rPr>
              <w:t>l'area interessata dall</w:t>
            </w:r>
            <w:r w:rsidR="00BC4DD3" w:rsidRPr="00BC4DD3">
              <w:rPr>
                <w:rFonts w:cs="Arial"/>
                <w:sz w:val="20"/>
              </w:rPr>
              <w:t xml:space="preserve">'intervento in oggetto ricade in un tratto del Torrente </w:t>
            </w:r>
            <w:proofErr w:type="spellStart"/>
            <w:r w:rsidR="00BC4DD3" w:rsidRPr="00BC4DD3">
              <w:rPr>
                <w:rFonts w:cs="Arial"/>
                <w:sz w:val="20"/>
              </w:rPr>
              <w:t>Pentecchia</w:t>
            </w:r>
            <w:proofErr w:type="spellEnd"/>
            <w:r w:rsidR="00BC4DD3" w:rsidRPr="00BC4DD3">
              <w:rPr>
                <w:rFonts w:cs="Arial"/>
                <w:sz w:val="20"/>
              </w:rPr>
              <w:t xml:space="preserve"> non ancora perimetrato e classificato dal Piano per l'Assetto Idrogeologico (PAI), per il quale, pertanto, non sono stati condotti studi idrologici e idraulici", e pertanto " ... ai sensi </w:t>
            </w:r>
            <w:proofErr w:type="spellStart"/>
            <w:r w:rsidR="00BC4DD3" w:rsidRPr="00BC4DD3">
              <w:rPr>
                <w:rFonts w:cs="Arial"/>
                <w:sz w:val="20"/>
              </w:rPr>
              <w:t>dell</w:t>
            </w:r>
            <w:proofErr w:type="spellEnd"/>
            <w:r w:rsidR="00BC4DD3" w:rsidRPr="00BC4DD3">
              <w:rPr>
                <w:rFonts w:cs="Arial"/>
                <w:sz w:val="20"/>
              </w:rPr>
              <w:t xml:space="preserve"> 'art. 4 c. 4 delle Norme di attuazione del PAI, i progetti di opere e/o interventi che interessano corsi d'acqua e/o aree limitrofe, non ancora oggetto di studio da parte dell'</w:t>
            </w:r>
            <w:proofErr w:type="spellStart"/>
            <w:r w:rsidR="00BC4DD3" w:rsidRPr="00BC4DD3">
              <w:rPr>
                <w:rFonts w:cs="Arial"/>
                <w:sz w:val="20"/>
              </w:rPr>
              <w:t>A.d.B</w:t>
            </w:r>
            <w:proofErr w:type="spellEnd"/>
            <w:r w:rsidR="00BC4DD3" w:rsidRPr="00BC4DD3">
              <w:rPr>
                <w:rFonts w:cs="Arial"/>
                <w:sz w:val="20"/>
              </w:rPr>
              <w:t xml:space="preserve">., dovranno comprendere obbligatoriamente uno studio idrologico e idraulico che consideri </w:t>
            </w:r>
            <w:proofErr w:type="spellStart"/>
            <w:r w:rsidR="00BC4DD3" w:rsidRPr="00BC4DD3">
              <w:rPr>
                <w:rFonts w:cs="Arial"/>
                <w:sz w:val="20"/>
              </w:rPr>
              <w:t>unaportata</w:t>
            </w:r>
            <w:proofErr w:type="spellEnd"/>
            <w:r w:rsidR="00BC4DD3" w:rsidRPr="00BC4DD3">
              <w:rPr>
                <w:rFonts w:cs="Arial"/>
                <w:sz w:val="20"/>
              </w:rPr>
              <w:t xml:space="preserve"> di piena avente periodo di ritorno pari a 200 anni". Questo aspetto rimarca la necessità di approfondire mediante studi idraulici mirati su tali aree, l'effettivo rischio presente, anche sulla base del criterio di esclusione CE4 riportato nella Guida Tecnica n. 29.</w:t>
            </w:r>
          </w:p>
          <w:p w14:paraId="26AC22CE" w14:textId="32158C7D" w:rsidR="00CF3FEC" w:rsidRPr="00EA4CF1" w:rsidRDefault="00CF3FEC">
            <w:pPr>
              <w:pStyle w:val="CAMPI"/>
              <w:spacing w:before="0" w:after="0" w:line="240" w:lineRule="auto"/>
              <w:jc w:val="both"/>
              <w:rPr>
                <w:rFonts w:cs="Arial"/>
                <w:sz w:val="20"/>
              </w:rPr>
            </w:pPr>
            <w:r w:rsidRPr="00CC7E9C">
              <w:rPr>
                <w:rFonts w:cs="Arial"/>
                <w:sz w:val="20"/>
              </w:rPr>
              <w:t>L’inquadramento geomorfologico prodromico a queste note evidenzia comunque la presenza di diffuse forme di dissesto del suolo e del sottosuolo legati a fenomeni gravitati</w:t>
            </w:r>
            <w:r w:rsidR="00AF713B" w:rsidRPr="00CC7E9C">
              <w:rPr>
                <w:rFonts w:cs="Arial"/>
                <w:sz w:val="20"/>
              </w:rPr>
              <w:t>vi</w:t>
            </w:r>
            <w:r w:rsidRPr="00CC7E9C">
              <w:rPr>
                <w:rFonts w:cs="Arial"/>
                <w:sz w:val="20"/>
              </w:rPr>
              <w:t xml:space="preserve"> e di dilavamento selvaggio ed incanalato, specialmente lungo il versante che borda il limite occidentale dell’area di questa API (</w:t>
            </w:r>
            <w:r w:rsidR="00CC7E9C" w:rsidRPr="00CC7E9C">
              <w:rPr>
                <w:rFonts w:cs="Arial"/>
                <w:sz w:val="20"/>
              </w:rPr>
              <w:t>Fig. 6; Fig. 7</w:t>
            </w:r>
            <w:r w:rsidRPr="00CC7E9C">
              <w:rPr>
                <w:rFonts w:cs="Arial"/>
                <w:sz w:val="20"/>
              </w:rPr>
              <w:t xml:space="preserve">). </w:t>
            </w:r>
            <w:r w:rsidR="0028171E" w:rsidRPr="00CC7E9C">
              <w:rPr>
                <w:rFonts w:cs="Arial"/>
                <w:sz w:val="20"/>
              </w:rPr>
              <w:t>A</w:t>
            </w:r>
            <w:r w:rsidR="00FC6EAA" w:rsidRPr="00CC7E9C">
              <w:rPr>
                <w:rFonts w:cs="Arial"/>
                <w:sz w:val="20"/>
              </w:rPr>
              <w:t xml:space="preserve">lcuni di essi interessano già la superficie </w:t>
            </w:r>
            <w:proofErr w:type="spellStart"/>
            <w:r w:rsidR="00FC6EAA" w:rsidRPr="00CC7E9C">
              <w:rPr>
                <w:rFonts w:cs="Arial"/>
                <w:sz w:val="20"/>
              </w:rPr>
              <w:t>suborizzontale</w:t>
            </w:r>
            <w:proofErr w:type="spellEnd"/>
            <w:r w:rsidR="00FC6EAA" w:rsidRPr="00CC7E9C">
              <w:rPr>
                <w:rFonts w:cs="Arial"/>
                <w:sz w:val="20"/>
              </w:rPr>
              <w:t xml:space="preserve"> e ne rendono discontinua una super</w:t>
            </w:r>
            <w:r w:rsidR="00FC6EAA" w:rsidRPr="00CC7E9C">
              <w:rPr>
                <w:rFonts w:cs="Arial"/>
                <w:sz w:val="20"/>
              </w:rPr>
              <w:lastRenderedPageBreak/>
              <w:t xml:space="preserve">ficie solo in apparenza </w:t>
            </w:r>
            <w:proofErr w:type="spellStart"/>
            <w:r w:rsidR="00FC6EAA" w:rsidRPr="00CC7E9C">
              <w:rPr>
                <w:rFonts w:cs="Arial"/>
                <w:sz w:val="20"/>
              </w:rPr>
              <w:t>suborizzontale</w:t>
            </w:r>
            <w:proofErr w:type="spellEnd"/>
            <w:r w:rsidR="00FC6EAA" w:rsidRPr="00CC7E9C">
              <w:rPr>
                <w:rFonts w:cs="Arial"/>
                <w:sz w:val="20"/>
              </w:rPr>
              <w:t xml:space="preserve"> e pianeggiante.  Questi </w:t>
            </w:r>
            <w:r w:rsidR="00007F0B">
              <w:rPr>
                <w:rFonts w:cs="Arial"/>
                <w:sz w:val="20"/>
              </w:rPr>
              <w:t>caratteri</w:t>
            </w:r>
            <w:r w:rsidR="00FC6EAA" w:rsidRPr="00CC7E9C">
              <w:rPr>
                <w:rFonts w:cs="Arial"/>
                <w:sz w:val="20"/>
              </w:rPr>
              <w:t xml:space="preserve"> indicano tutti incipiente pericolosità geomorfologica</w:t>
            </w:r>
            <w:r w:rsidR="00007F0B">
              <w:rPr>
                <w:rFonts w:cs="Arial"/>
                <w:sz w:val="20"/>
              </w:rPr>
              <w:t xml:space="preserve"> e quindi suggeriscono l’esclusione del sito</w:t>
            </w:r>
            <w:r w:rsidR="00FC6EAA" w:rsidRPr="00CC7E9C">
              <w:rPr>
                <w:rFonts w:cs="Arial"/>
                <w:sz w:val="20"/>
              </w:rPr>
              <w:t>.</w:t>
            </w:r>
          </w:p>
        </w:tc>
      </w:tr>
      <w:tr w:rsidR="00E67EDB" w14:paraId="1992B4C3" w14:textId="77777777" w:rsidTr="005027AA">
        <w:trPr>
          <w:trHeight w:val="70"/>
        </w:trPr>
        <w:tc>
          <w:tcPr>
            <w:tcW w:w="2943" w:type="dxa"/>
            <w:vAlign w:val="center"/>
          </w:tcPr>
          <w:p w14:paraId="44438EEE" w14:textId="3B8CEC54" w:rsidR="00E67EDB" w:rsidRDefault="00E67EDB" w:rsidP="00356BE7">
            <w:pPr>
              <w:pStyle w:val="LABELSEMPLICI"/>
            </w:pPr>
            <w:r w:rsidRPr="00E67EDB">
              <w:lastRenderedPageBreak/>
              <w:t xml:space="preserve">CE5. </w:t>
            </w:r>
            <w:r>
              <w:t xml:space="preserve">aree </w:t>
            </w:r>
            <w:r w:rsidRPr="00E67EDB">
              <w:t>contraddistinte dalla presenza di depositi alluvionali di età olocenica</w:t>
            </w:r>
          </w:p>
        </w:tc>
        <w:tc>
          <w:tcPr>
            <w:tcW w:w="6266" w:type="dxa"/>
            <w:shd w:val="clear" w:color="auto" w:fill="FFFFFF"/>
            <w:vAlign w:val="center"/>
          </w:tcPr>
          <w:p w14:paraId="6ECF162D" w14:textId="695C8A12" w:rsidR="00E67EDB" w:rsidRPr="00EA4CF1" w:rsidRDefault="00E12D12" w:rsidP="00EA4CF1">
            <w:pPr>
              <w:pStyle w:val="CAMPI"/>
              <w:spacing w:before="0" w:after="0" w:line="240" w:lineRule="auto"/>
              <w:jc w:val="both"/>
              <w:rPr>
                <w:rFonts w:cs="Arial"/>
                <w:sz w:val="20"/>
              </w:rPr>
            </w:pPr>
            <w:r w:rsidRPr="00EA4CF1">
              <w:rPr>
                <w:rFonts w:cs="Arial"/>
                <w:sz w:val="20"/>
              </w:rPr>
              <w:t>NONE</w:t>
            </w:r>
          </w:p>
        </w:tc>
      </w:tr>
      <w:tr w:rsidR="00E67EDB" w14:paraId="14D5E729" w14:textId="77777777" w:rsidTr="00356BE7">
        <w:trPr>
          <w:trHeight w:val="567"/>
        </w:trPr>
        <w:tc>
          <w:tcPr>
            <w:tcW w:w="2943" w:type="dxa"/>
            <w:vAlign w:val="center"/>
          </w:tcPr>
          <w:p w14:paraId="2C2D4C6C" w14:textId="2853259D" w:rsidR="00E67EDB" w:rsidRDefault="00E67EDB" w:rsidP="00356BE7">
            <w:pPr>
              <w:pStyle w:val="LABELSEMPLICI"/>
            </w:pPr>
            <w:r w:rsidRPr="00E67EDB">
              <w:t xml:space="preserve">CE6. </w:t>
            </w:r>
            <w:r>
              <w:t xml:space="preserve">aree </w:t>
            </w:r>
            <w:r w:rsidRPr="00E67EDB">
              <w:t>ubicate ad altitudine maggiore di 700 m s.l.m.</w:t>
            </w:r>
          </w:p>
        </w:tc>
        <w:tc>
          <w:tcPr>
            <w:tcW w:w="6266" w:type="dxa"/>
            <w:shd w:val="clear" w:color="auto" w:fill="FFFFFF"/>
            <w:vAlign w:val="center"/>
          </w:tcPr>
          <w:p w14:paraId="60D98BD2" w14:textId="74023998" w:rsidR="00E67EDB" w:rsidRPr="00EA4CF1" w:rsidRDefault="00E12D12" w:rsidP="00EA4CF1">
            <w:pPr>
              <w:pStyle w:val="CAMPI"/>
              <w:spacing w:before="0" w:after="0" w:line="240" w:lineRule="auto"/>
              <w:jc w:val="both"/>
              <w:rPr>
                <w:rFonts w:cs="Arial"/>
                <w:sz w:val="20"/>
              </w:rPr>
            </w:pPr>
            <w:r w:rsidRPr="00EA4CF1">
              <w:rPr>
                <w:rFonts w:cs="Arial"/>
                <w:sz w:val="20"/>
              </w:rPr>
              <w:t>NONE</w:t>
            </w:r>
          </w:p>
        </w:tc>
      </w:tr>
      <w:tr w:rsidR="00E67EDB" w14:paraId="7D9334EE" w14:textId="77777777" w:rsidTr="00356BE7">
        <w:trPr>
          <w:trHeight w:val="567"/>
        </w:trPr>
        <w:tc>
          <w:tcPr>
            <w:tcW w:w="2943" w:type="dxa"/>
            <w:vAlign w:val="center"/>
          </w:tcPr>
          <w:p w14:paraId="6D11CAA3" w14:textId="18D6BC5F" w:rsidR="00E67EDB" w:rsidRDefault="00E67EDB" w:rsidP="00356BE7">
            <w:pPr>
              <w:pStyle w:val="LABELSEMPLICI"/>
            </w:pPr>
            <w:r w:rsidRPr="00E67EDB">
              <w:t xml:space="preserve">CE7. </w:t>
            </w:r>
            <w:r>
              <w:t xml:space="preserve">aree </w:t>
            </w:r>
            <w:r w:rsidRPr="00E67EDB">
              <w:t>caratterizzate da versanti con pendenza media maggiore del 10%</w:t>
            </w:r>
          </w:p>
        </w:tc>
        <w:tc>
          <w:tcPr>
            <w:tcW w:w="6266" w:type="dxa"/>
            <w:shd w:val="clear" w:color="auto" w:fill="FFFFFF"/>
            <w:vAlign w:val="center"/>
          </w:tcPr>
          <w:p w14:paraId="624F8259" w14:textId="77777777" w:rsidR="00E67EDB" w:rsidRDefault="00E12D12" w:rsidP="00CC7E9C">
            <w:pPr>
              <w:pStyle w:val="CAMPI"/>
              <w:spacing w:before="0" w:after="0" w:line="240" w:lineRule="auto"/>
              <w:jc w:val="both"/>
              <w:rPr>
                <w:rFonts w:cs="Arial"/>
                <w:color w:val="000000"/>
                <w:sz w:val="20"/>
              </w:rPr>
            </w:pPr>
            <w:r w:rsidRPr="00CC7E9C">
              <w:rPr>
                <w:rFonts w:cs="Arial"/>
                <w:color w:val="000000"/>
                <w:sz w:val="20"/>
              </w:rPr>
              <w:t xml:space="preserve">Si sottolinea che occorre porre attenzione alla richiesta del criterio, infatti esso basa l’esclusione delle aree con </w:t>
            </w:r>
            <w:r w:rsidRPr="00007F0B">
              <w:rPr>
                <w:rFonts w:cs="Arial"/>
                <w:color w:val="000000"/>
                <w:sz w:val="20"/>
              </w:rPr>
              <w:t>presenza di versanti che abbiano pendenza media maggiore del 10%</w:t>
            </w:r>
            <w:r w:rsidRPr="00CC7E9C">
              <w:rPr>
                <w:rFonts w:cs="Arial"/>
                <w:color w:val="000000"/>
                <w:sz w:val="20"/>
              </w:rPr>
              <w:t xml:space="preserve"> e non fa riferimento, invece, alla media della pendenza che deve avere l’area. Nelle aree prossime al limite delle perimetrazioni sono frequentemente inclusi gradini corrispondenti a nicchie di frana o a testate di erosione regressiva con pendenze localmente anche maggiori del 20%</w:t>
            </w:r>
            <w:r w:rsidR="00CF3FEC" w:rsidRPr="00CC7E9C">
              <w:rPr>
                <w:rFonts w:cs="Arial"/>
                <w:color w:val="000000"/>
                <w:sz w:val="20"/>
              </w:rPr>
              <w:t xml:space="preserve"> (Fig.</w:t>
            </w:r>
            <w:r w:rsidR="00CC7E9C" w:rsidRPr="00CC7E9C">
              <w:rPr>
                <w:rFonts w:cs="Arial"/>
                <w:color w:val="000000"/>
                <w:sz w:val="20"/>
              </w:rPr>
              <w:t xml:space="preserve"> 6</w:t>
            </w:r>
            <w:r w:rsidR="00CF3FEC" w:rsidRPr="00CC7E9C">
              <w:rPr>
                <w:rFonts w:cs="Arial"/>
                <w:color w:val="000000"/>
                <w:sz w:val="20"/>
              </w:rPr>
              <w:t>).</w:t>
            </w:r>
          </w:p>
          <w:p w14:paraId="5E97B8A3" w14:textId="5D2B8ABA" w:rsidR="00007F0B" w:rsidRPr="00EA4CF1" w:rsidRDefault="00007F0B" w:rsidP="00CC7E9C">
            <w:pPr>
              <w:pStyle w:val="CAMPI"/>
              <w:spacing w:before="0" w:after="0" w:line="240" w:lineRule="auto"/>
              <w:jc w:val="both"/>
              <w:rPr>
                <w:rFonts w:cs="Arial"/>
                <w:sz w:val="20"/>
              </w:rPr>
            </w:pPr>
            <w:r>
              <w:rPr>
                <w:rFonts w:cs="Arial"/>
                <w:color w:val="000000"/>
                <w:sz w:val="20"/>
              </w:rPr>
              <w:t>Con riferimento al CE4 tali caratteri suggeriscono l’esclusione del sito.</w:t>
            </w:r>
          </w:p>
        </w:tc>
      </w:tr>
      <w:tr w:rsidR="00E67EDB" w14:paraId="3DEB01D3" w14:textId="77777777" w:rsidTr="00356BE7">
        <w:trPr>
          <w:trHeight w:val="567"/>
        </w:trPr>
        <w:tc>
          <w:tcPr>
            <w:tcW w:w="2943" w:type="dxa"/>
            <w:vAlign w:val="center"/>
          </w:tcPr>
          <w:p w14:paraId="136287FF" w14:textId="0105552B" w:rsidR="00E67EDB" w:rsidRDefault="00E67EDB" w:rsidP="00356BE7">
            <w:pPr>
              <w:pStyle w:val="LABELSEMPLICI"/>
            </w:pPr>
            <w:r w:rsidRPr="00E67EDB">
              <w:t xml:space="preserve">CE8. </w:t>
            </w:r>
            <w:r>
              <w:t xml:space="preserve">aree </w:t>
            </w:r>
            <w:r w:rsidRPr="00E67EDB">
              <w:t>sino alla distanza di 5 km dalla linea di costa attuale oppure ubicate a distanza maggiore ma ad altitudine minore di 20 m s.l.m.</w:t>
            </w:r>
          </w:p>
        </w:tc>
        <w:tc>
          <w:tcPr>
            <w:tcW w:w="6266" w:type="dxa"/>
            <w:shd w:val="clear" w:color="auto" w:fill="FFFFFF"/>
            <w:vAlign w:val="center"/>
          </w:tcPr>
          <w:p w14:paraId="46080D17" w14:textId="4B325A3E" w:rsidR="00E67EDB" w:rsidRPr="00EA4CF1" w:rsidRDefault="00E12D12" w:rsidP="00EA4CF1">
            <w:pPr>
              <w:pStyle w:val="CAMPI"/>
              <w:spacing w:before="0" w:after="0" w:line="240" w:lineRule="auto"/>
              <w:jc w:val="both"/>
              <w:rPr>
                <w:rFonts w:cs="Arial"/>
                <w:sz w:val="20"/>
              </w:rPr>
            </w:pPr>
            <w:r w:rsidRPr="00EA4CF1">
              <w:rPr>
                <w:rFonts w:cs="Arial"/>
                <w:sz w:val="20"/>
              </w:rPr>
              <w:t>NONE</w:t>
            </w:r>
          </w:p>
        </w:tc>
      </w:tr>
      <w:tr w:rsidR="00E67EDB" w14:paraId="339F4C74" w14:textId="77777777" w:rsidTr="00356BE7">
        <w:trPr>
          <w:trHeight w:val="567"/>
        </w:trPr>
        <w:tc>
          <w:tcPr>
            <w:tcW w:w="2943" w:type="dxa"/>
            <w:vAlign w:val="center"/>
          </w:tcPr>
          <w:p w14:paraId="7BB1C6A7" w14:textId="44A0FF21" w:rsidR="00E67EDB" w:rsidRDefault="00E67EDB" w:rsidP="00356BE7">
            <w:pPr>
              <w:pStyle w:val="LABELSEMPLICI"/>
            </w:pPr>
            <w:r w:rsidRPr="00E67EDB">
              <w:t xml:space="preserve">CE9. </w:t>
            </w:r>
            <w:r>
              <w:t xml:space="preserve">aree </w:t>
            </w:r>
            <w:r w:rsidRPr="00E67EDB">
              <w:t>interessate dal processo morfogenetico carsico o con presenza di sprofondamenti catastrofici improvvisi (</w:t>
            </w:r>
            <w:proofErr w:type="spellStart"/>
            <w:r w:rsidRPr="00E67EDB">
              <w:t>sinkholes</w:t>
            </w:r>
            <w:proofErr w:type="spellEnd"/>
            <w:r w:rsidRPr="00E67EDB">
              <w:t>)</w:t>
            </w:r>
          </w:p>
        </w:tc>
        <w:tc>
          <w:tcPr>
            <w:tcW w:w="6266" w:type="dxa"/>
            <w:shd w:val="clear" w:color="auto" w:fill="FFFFFF"/>
            <w:vAlign w:val="center"/>
          </w:tcPr>
          <w:p w14:paraId="69FBD864" w14:textId="77777777" w:rsidR="00E67EDB" w:rsidRDefault="00E12D12" w:rsidP="00EA4CF1">
            <w:pPr>
              <w:pStyle w:val="CAMPI"/>
              <w:spacing w:before="0" w:after="0" w:line="240" w:lineRule="auto"/>
              <w:jc w:val="both"/>
              <w:rPr>
                <w:rFonts w:cs="Arial"/>
                <w:sz w:val="20"/>
              </w:rPr>
            </w:pPr>
            <w:r w:rsidRPr="00EA4CF1">
              <w:rPr>
                <w:rFonts w:cs="Arial"/>
                <w:sz w:val="20"/>
              </w:rPr>
              <w:t xml:space="preserve">La presenza nel sottosuolo, a profondità non definite, di unità carbonatiche quali la </w:t>
            </w:r>
            <w:proofErr w:type="spellStart"/>
            <w:r w:rsidRPr="00EA4CF1">
              <w:rPr>
                <w:rFonts w:cs="Arial"/>
                <w:sz w:val="20"/>
              </w:rPr>
              <w:t>Calcarenite</w:t>
            </w:r>
            <w:proofErr w:type="spellEnd"/>
            <w:r w:rsidRPr="00EA4CF1">
              <w:rPr>
                <w:rFonts w:cs="Arial"/>
                <w:sz w:val="20"/>
              </w:rPr>
              <w:t xml:space="preserve"> di Gravina e i Calcari delle Murge peraltro affioranti a breve distanza in linea d’aria, indica </w:t>
            </w:r>
            <w:r w:rsidR="00EA4CF1" w:rsidRPr="00EA4CF1">
              <w:rPr>
                <w:rFonts w:cs="Arial"/>
                <w:sz w:val="20"/>
              </w:rPr>
              <w:t>l</w:t>
            </w:r>
            <w:r w:rsidRPr="00EA4CF1">
              <w:rPr>
                <w:rFonts w:cs="Arial"/>
                <w:sz w:val="20"/>
              </w:rPr>
              <w:t>a</w:t>
            </w:r>
            <w:r w:rsidR="00EA4CF1" w:rsidRPr="00EA4CF1">
              <w:rPr>
                <w:rFonts w:cs="Arial"/>
                <w:sz w:val="20"/>
              </w:rPr>
              <w:t xml:space="preserve"> </w:t>
            </w:r>
            <w:r w:rsidRPr="00EA4CF1">
              <w:rPr>
                <w:rFonts w:cs="Arial"/>
                <w:sz w:val="20"/>
              </w:rPr>
              <w:t xml:space="preserve">potenzialità che </w:t>
            </w:r>
            <w:r w:rsidR="00EA4CF1" w:rsidRPr="00EA4CF1">
              <w:rPr>
                <w:rFonts w:cs="Arial"/>
                <w:sz w:val="20"/>
              </w:rPr>
              <w:t xml:space="preserve">si manifestino anche in superficie fenomeni di dissoluzione. Peraltro fenomeni che portano alla definizione di </w:t>
            </w:r>
            <w:proofErr w:type="spellStart"/>
            <w:r w:rsidR="00EA4CF1" w:rsidRPr="00EA4CF1">
              <w:rPr>
                <w:rFonts w:cs="Arial"/>
                <w:sz w:val="20"/>
              </w:rPr>
              <w:t>sink</w:t>
            </w:r>
            <w:proofErr w:type="spellEnd"/>
            <w:r w:rsidR="00EA4CF1" w:rsidRPr="00EA4CF1">
              <w:rPr>
                <w:rFonts w:cs="Arial"/>
                <w:sz w:val="20"/>
              </w:rPr>
              <w:t xml:space="preserve"> </w:t>
            </w:r>
            <w:proofErr w:type="spellStart"/>
            <w:r w:rsidR="00EA4CF1" w:rsidRPr="00EA4CF1">
              <w:rPr>
                <w:rFonts w:cs="Arial"/>
                <w:sz w:val="20"/>
              </w:rPr>
              <w:t>holes</w:t>
            </w:r>
            <w:proofErr w:type="spellEnd"/>
            <w:r w:rsidR="00EA4CF1" w:rsidRPr="00EA4CF1">
              <w:rPr>
                <w:rFonts w:cs="Arial"/>
                <w:sz w:val="20"/>
              </w:rPr>
              <w:t xml:space="preserve"> possono manifestarsi anche nelle sabbie e nelle </w:t>
            </w:r>
            <w:proofErr w:type="spellStart"/>
            <w:r w:rsidR="00EA4CF1" w:rsidRPr="00EA4CF1">
              <w:rPr>
                <w:rFonts w:cs="Arial"/>
                <w:sz w:val="20"/>
              </w:rPr>
              <w:t>calcareniti</w:t>
            </w:r>
            <w:proofErr w:type="spellEnd"/>
            <w:r w:rsidR="00EA4CF1" w:rsidRPr="00EA4CF1">
              <w:rPr>
                <w:rFonts w:cs="Arial"/>
                <w:sz w:val="20"/>
              </w:rPr>
              <w:t xml:space="preserve"> dei depositi delle coperture del Pleistocene</w:t>
            </w:r>
            <w:r w:rsidR="00525BBB">
              <w:rPr>
                <w:rFonts w:cs="Arial"/>
                <w:sz w:val="20"/>
              </w:rPr>
              <w:t>.</w:t>
            </w:r>
          </w:p>
          <w:p w14:paraId="6E1EEE0D" w14:textId="10FF8843" w:rsidR="00707908" w:rsidRPr="00EA4CF1" w:rsidRDefault="00707908" w:rsidP="00707908">
            <w:pPr>
              <w:pStyle w:val="CAMPI"/>
              <w:spacing w:before="0" w:after="0" w:line="240" w:lineRule="auto"/>
              <w:jc w:val="both"/>
              <w:rPr>
                <w:rFonts w:cs="Arial"/>
                <w:sz w:val="20"/>
              </w:rPr>
            </w:pPr>
            <w:r>
              <w:rPr>
                <w:rFonts w:cs="Arial"/>
                <w:sz w:val="20"/>
              </w:rPr>
              <w:t>La relazione fra la dinamica superficiale e quella sotterranea -  seppur nella più favorevole delle ipotesi limitatamente alle coperture - è fattore di pericolosità che suggerisce l’esclusione del sito</w:t>
            </w:r>
            <w:r w:rsidR="00DC256A">
              <w:rPr>
                <w:rFonts w:cs="Arial"/>
                <w:sz w:val="20"/>
              </w:rPr>
              <w:t>.</w:t>
            </w:r>
          </w:p>
        </w:tc>
      </w:tr>
      <w:tr w:rsidR="00E67EDB" w14:paraId="0299CD13" w14:textId="77777777" w:rsidTr="00356BE7">
        <w:trPr>
          <w:trHeight w:val="567"/>
        </w:trPr>
        <w:tc>
          <w:tcPr>
            <w:tcW w:w="2943" w:type="dxa"/>
            <w:vAlign w:val="center"/>
          </w:tcPr>
          <w:p w14:paraId="0144CEFE" w14:textId="6F686AC8" w:rsidR="00E67EDB" w:rsidRDefault="00E67EDB" w:rsidP="00356BE7">
            <w:pPr>
              <w:pStyle w:val="LABELSEMPLICI"/>
            </w:pPr>
            <w:r w:rsidRPr="00E67EDB">
              <w:t xml:space="preserve">CE10. </w:t>
            </w:r>
            <w:r>
              <w:t xml:space="preserve">aree </w:t>
            </w:r>
            <w:r w:rsidRPr="00E67EDB">
              <w:t>caratterizzate da livelli piezometrici affioranti o che, comunque, possano interferire con le strutture di fondazione del deposito</w:t>
            </w:r>
          </w:p>
        </w:tc>
        <w:tc>
          <w:tcPr>
            <w:tcW w:w="6266" w:type="dxa"/>
            <w:shd w:val="clear" w:color="auto" w:fill="FFFFFF"/>
            <w:vAlign w:val="center"/>
          </w:tcPr>
          <w:p w14:paraId="61ADF34B" w14:textId="524797BA" w:rsidR="00E67EDB" w:rsidRPr="00525BBB" w:rsidRDefault="00F95985" w:rsidP="005027AA">
            <w:pPr>
              <w:suppressAutoHyphens w:val="0"/>
              <w:jc w:val="both"/>
              <w:rPr>
                <w:rFonts w:ascii="Arial" w:hAnsi="Arial" w:cs="Arial"/>
                <w:sz w:val="20"/>
                <w:szCs w:val="20"/>
              </w:rPr>
            </w:pPr>
            <w:r w:rsidRPr="00525BBB">
              <w:rPr>
                <w:rFonts w:ascii="Arial" w:hAnsi="Arial" w:cs="Arial"/>
                <w:sz w:val="20"/>
                <w:szCs w:val="20"/>
              </w:rPr>
              <w:t xml:space="preserve">La superficie superiore appare costituita da alternanze di sabbie e conglomerati; tali depositi appoggiano su argille </w:t>
            </w:r>
            <w:r w:rsidR="00C1573A">
              <w:rPr>
                <w:rFonts w:ascii="Arial" w:hAnsi="Arial" w:cs="Arial"/>
                <w:sz w:val="20"/>
                <w:szCs w:val="20"/>
              </w:rPr>
              <w:t>poco permeabili</w:t>
            </w:r>
            <w:r w:rsidRPr="00525BBB">
              <w:rPr>
                <w:rFonts w:ascii="Arial" w:hAnsi="Arial" w:cs="Arial"/>
                <w:sz w:val="20"/>
                <w:szCs w:val="20"/>
              </w:rPr>
              <w:t xml:space="preserve">. </w:t>
            </w:r>
            <w:r w:rsidR="00C1573A">
              <w:rPr>
                <w:rFonts w:ascii="Arial" w:hAnsi="Arial" w:cs="Arial"/>
                <w:sz w:val="20"/>
                <w:szCs w:val="20"/>
              </w:rPr>
              <w:t>Il diffuso ristagno</w:t>
            </w:r>
            <w:r w:rsidR="00EA4CF1" w:rsidRPr="00525BBB">
              <w:rPr>
                <w:rFonts w:ascii="Arial" w:hAnsi="Arial" w:cs="Arial"/>
                <w:sz w:val="20"/>
                <w:szCs w:val="20"/>
              </w:rPr>
              <w:t xml:space="preserve"> di acqua dopo gli eventi meteorici più intensi indica inequivocabilmente il fatto che esistano </w:t>
            </w:r>
            <w:r w:rsidR="005027AA" w:rsidRPr="00525BBB">
              <w:rPr>
                <w:rFonts w:ascii="Arial" w:hAnsi="Arial" w:cs="Arial"/>
                <w:sz w:val="20"/>
                <w:szCs w:val="20"/>
              </w:rPr>
              <w:t xml:space="preserve">livelli piezometrici affioranti relativi alla falda superficiale ospitata nelle unità Pleistoceniche. Del resto la </w:t>
            </w:r>
            <w:r w:rsidR="00E12D12" w:rsidRPr="00525BBB">
              <w:rPr>
                <w:rFonts w:ascii="Arial" w:hAnsi="Arial" w:cs="Arial"/>
                <w:sz w:val="20"/>
                <w:szCs w:val="20"/>
              </w:rPr>
              <w:t xml:space="preserve">presenza di numerose sorgenti, segnalata dalle stesse relazioni, indica che numerose falde possono essere rinvenute nell’ambito dei vari corpi sedimentari. </w:t>
            </w:r>
          </w:p>
          <w:p w14:paraId="7EBD78A3" w14:textId="77777777" w:rsidR="00707908" w:rsidRPr="00707908" w:rsidRDefault="009277DE" w:rsidP="00707908">
            <w:pPr>
              <w:suppressAutoHyphens w:val="0"/>
              <w:jc w:val="both"/>
              <w:rPr>
                <w:rFonts w:ascii="Arial" w:hAnsi="Arial" w:cs="Arial"/>
                <w:sz w:val="20"/>
                <w:szCs w:val="20"/>
              </w:rPr>
            </w:pPr>
            <w:r w:rsidRPr="00525BBB">
              <w:rPr>
                <w:rFonts w:ascii="Arial" w:hAnsi="Arial" w:cs="Arial"/>
                <w:sz w:val="20"/>
                <w:szCs w:val="20"/>
              </w:rPr>
              <w:t xml:space="preserve">Inoltre, si segnala a soli 7km verso SE la presenza di un </w:t>
            </w:r>
            <w:proofErr w:type="spellStart"/>
            <w:r w:rsidRPr="00525BBB">
              <w:rPr>
                <w:rFonts w:ascii="Arial" w:hAnsi="Arial" w:cs="Arial"/>
                <w:sz w:val="20"/>
                <w:szCs w:val="20"/>
              </w:rPr>
              <w:t>vulcanello</w:t>
            </w:r>
            <w:proofErr w:type="spellEnd"/>
            <w:r w:rsidRPr="00525BBB">
              <w:rPr>
                <w:rFonts w:ascii="Arial" w:hAnsi="Arial" w:cs="Arial"/>
                <w:sz w:val="20"/>
                <w:szCs w:val="20"/>
              </w:rPr>
              <w:t xml:space="preserve"> di fango. Questa, che non è una manifestazione vulcanica, consta in flussi verticali di </w:t>
            </w:r>
            <w:r w:rsidRPr="00707908">
              <w:rPr>
                <w:rFonts w:ascii="Arial" w:hAnsi="Arial" w:cs="Arial"/>
                <w:sz w:val="20"/>
                <w:szCs w:val="20"/>
              </w:rPr>
              <w:t>acque e gas evidenziando la presenza di discontinuità, quali per esempio faglie, nel corpo roccioso</w:t>
            </w:r>
            <w:r w:rsidR="00007F0B" w:rsidRPr="00707908">
              <w:rPr>
                <w:rFonts w:ascii="Arial" w:hAnsi="Arial" w:cs="Arial"/>
                <w:sz w:val="20"/>
                <w:szCs w:val="20"/>
              </w:rPr>
              <w:t xml:space="preserve"> (</w:t>
            </w:r>
            <w:proofErr w:type="spellStart"/>
            <w:r w:rsidR="00007F0B" w:rsidRPr="00707908">
              <w:rPr>
                <w:rFonts w:ascii="Arial" w:hAnsi="Arial" w:cs="Arial"/>
                <w:sz w:val="20"/>
                <w:szCs w:val="20"/>
              </w:rPr>
              <w:t>cfr</w:t>
            </w:r>
            <w:proofErr w:type="spellEnd"/>
            <w:r w:rsidR="00007F0B" w:rsidRPr="00707908">
              <w:rPr>
                <w:rFonts w:ascii="Arial" w:hAnsi="Arial" w:cs="Arial"/>
                <w:sz w:val="20"/>
                <w:szCs w:val="20"/>
              </w:rPr>
              <w:t xml:space="preserve"> CA8)</w:t>
            </w:r>
            <w:r w:rsidRPr="00707908">
              <w:rPr>
                <w:rFonts w:ascii="Arial" w:hAnsi="Arial" w:cs="Arial"/>
                <w:sz w:val="20"/>
                <w:szCs w:val="20"/>
              </w:rPr>
              <w:t>.</w:t>
            </w:r>
          </w:p>
          <w:p w14:paraId="47C59960" w14:textId="49F1E2E7" w:rsidR="009277DE" w:rsidRPr="005027AA" w:rsidRDefault="00707908" w:rsidP="00707908">
            <w:pPr>
              <w:suppressAutoHyphens w:val="0"/>
              <w:jc w:val="both"/>
              <w:rPr>
                <w:rFonts w:ascii="Arial" w:hAnsi="Arial" w:cs="Arial"/>
                <w:sz w:val="20"/>
                <w:szCs w:val="20"/>
              </w:rPr>
            </w:pPr>
            <w:r w:rsidRPr="00707908">
              <w:rPr>
                <w:rFonts w:ascii="Arial" w:hAnsi="Arial" w:cs="Arial"/>
                <w:sz w:val="20"/>
              </w:rPr>
              <w:t xml:space="preserve">Questi caratteri rappresentano fattori di rischio per le risorse </w:t>
            </w:r>
            <w:r w:rsidR="00DC256A">
              <w:rPr>
                <w:rFonts w:ascii="Arial" w:hAnsi="Arial" w:cs="Arial"/>
                <w:sz w:val="20"/>
              </w:rPr>
              <w:t xml:space="preserve">idriche </w:t>
            </w:r>
            <w:r w:rsidRPr="00707908">
              <w:rPr>
                <w:rFonts w:ascii="Arial" w:hAnsi="Arial" w:cs="Arial"/>
                <w:sz w:val="20"/>
              </w:rPr>
              <w:t>e le strutture  e quindi suggeriscono l’esclusione del sito.</w:t>
            </w:r>
          </w:p>
        </w:tc>
      </w:tr>
      <w:tr w:rsidR="00E67EDB" w14:paraId="18743FE1" w14:textId="77777777" w:rsidTr="00356BE7">
        <w:trPr>
          <w:trHeight w:val="567"/>
        </w:trPr>
        <w:tc>
          <w:tcPr>
            <w:tcW w:w="2943" w:type="dxa"/>
            <w:vAlign w:val="center"/>
          </w:tcPr>
          <w:p w14:paraId="615CFEA2" w14:textId="13D55F23" w:rsidR="00E67EDB" w:rsidRDefault="00E67EDB" w:rsidP="00356BE7">
            <w:pPr>
              <w:pStyle w:val="LABELSEMPLICI"/>
            </w:pPr>
            <w:bookmarkStart w:id="0" w:name="_GoBack" w:colFirst="1" w:colLast="1"/>
            <w:r w:rsidRPr="00E67EDB">
              <w:t xml:space="preserve">CE11. </w:t>
            </w:r>
            <w:r>
              <w:t xml:space="preserve">aree </w:t>
            </w:r>
            <w:r w:rsidRPr="00E67EDB">
              <w:t>naturali protette identificate ai sensi della normativa vigente</w:t>
            </w:r>
          </w:p>
        </w:tc>
        <w:tc>
          <w:tcPr>
            <w:tcW w:w="6266" w:type="dxa"/>
            <w:shd w:val="clear" w:color="auto" w:fill="FFFFFF"/>
            <w:vAlign w:val="center"/>
          </w:tcPr>
          <w:p w14:paraId="75946DA0" w14:textId="77777777" w:rsidR="009043A4" w:rsidRDefault="009043A4" w:rsidP="00B33416">
            <w:pPr>
              <w:tabs>
                <w:tab w:val="left" w:pos="4253"/>
                <w:tab w:val="left" w:pos="4962"/>
                <w:tab w:val="left" w:pos="5245"/>
              </w:tabs>
              <w:jc w:val="both"/>
              <w:rPr>
                <w:rFonts w:ascii="Arial" w:eastAsia="Cambria" w:hAnsi="Arial" w:cs="Arial"/>
                <w:bCs/>
                <w:color w:val="0F243E" w:themeColor="text2" w:themeShade="80"/>
                <w:sz w:val="20"/>
                <w:szCs w:val="20"/>
              </w:rPr>
            </w:pPr>
            <w:r w:rsidRPr="00C1573A">
              <w:rPr>
                <w:rFonts w:ascii="Arial" w:eastAsia="Cambria" w:hAnsi="Arial" w:cs="Arial"/>
                <w:bCs/>
                <w:color w:val="0F243E" w:themeColor="text2" w:themeShade="80"/>
                <w:sz w:val="20"/>
                <w:szCs w:val="20"/>
              </w:rPr>
              <w:t xml:space="preserve">Come cartografato dal Piano Paesaggistico Territoriale della Regione Puglia, l'area presenta diverse componenti di importanza geomorfologica </w:t>
            </w:r>
            <w:r>
              <w:rPr>
                <w:rFonts w:ascii="Arial" w:eastAsia="Cambria" w:hAnsi="Arial" w:cs="Arial"/>
                <w:bCs/>
                <w:color w:val="0F243E" w:themeColor="text2" w:themeShade="80"/>
                <w:sz w:val="20"/>
                <w:szCs w:val="20"/>
              </w:rPr>
              <w:t>ed interesse paesaggistico indiv</w:t>
            </w:r>
            <w:r w:rsidRPr="00C1573A">
              <w:rPr>
                <w:rFonts w:ascii="Arial" w:eastAsia="Cambria" w:hAnsi="Arial" w:cs="Arial"/>
                <w:bCs/>
                <w:color w:val="0F243E" w:themeColor="text2" w:themeShade="80"/>
                <w:sz w:val="20"/>
                <w:szCs w:val="20"/>
              </w:rPr>
              <w:t xml:space="preserve">iduate come </w:t>
            </w:r>
            <w:proofErr w:type="spellStart"/>
            <w:r w:rsidRPr="00C1573A">
              <w:rPr>
                <w:rFonts w:ascii="Arial" w:eastAsia="Cambria" w:hAnsi="Arial" w:cs="Arial"/>
                <w:bCs/>
                <w:color w:val="0F243E" w:themeColor="text2" w:themeShade="80"/>
                <w:sz w:val="20"/>
                <w:szCs w:val="20"/>
              </w:rPr>
              <w:t>Geositi</w:t>
            </w:r>
            <w:proofErr w:type="spellEnd"/>
            <w:r w:rsidRPr="00C1573A">
              <w:rPr>
                <w:rFonts w:ascii="Arial" w:eastAsia="Cambria" w:hAnsi="Arial" w:cs="Arial"/>
                <w:bCs/>
                <w:color w:val="0F243E" w:themeColor="text2" w:themeShade="80"/>
                <w:sz w:val="20"/>
                <w:szCs w:val="20"/>
              </w:rPr>
              <w:t xml:space="preserve"> </w:t>
            </w:r>
            <w:r>
              <w:rPr>
                <w:rFonts w:ascii="Arial" w:eastAsia="Cambria" w:hAnsi="Arial" w:cs="Arial"/>
                <w:bCs/>
                <w:color w:val="0F243E" w:themeColor="text2" w:themeShade="80"/>
                <w:sz w:val="20"/>
                <w:szCs w:val="20"/>
              </w:rPr>
              <w:t xml:space="preserve">rappresentati generalmente dai calanchi </w:t>
            </w:r>
            <w:r w:rsidRPr="00C1573A">
              <w:rPr>
                <w:rFonts w:ascii="Arial" w:eastAsia="Cambria" w:hAnsi="Arial" w:cs="Arial"/>
                <w:bCs/>
                <w:color w:val="0F243E" w:themeColor="text2" w:themeShade="80"/>
                <w:sz w:val="20"/>
                <w:szCs w:val="20"/>
              </w:rPr>
              <w:t>(</w:t>
            </w:r>
            <w:proofErr w:type="spellStart"/>
            <w:r w:rsidRPr="00C1573A">
              <w:rPr>
                <w:rFonts w:ascii="Arial" w:eastAsia="Cambria" w:hAnsi="Arial" w:cs="Arial"/>
                <w:bCs/>
                <w:color w:val="0F243E" w:themeColor="text2" w:themeShade="80"/>
                <w:sz w:val="20"/>
                <w:szCs w:val="20"/>
              </w:rPr>
              <w:t>Geositi</w:t>
            </w:r>
            <w:proofErr w:type="spellEnd"/>
            <w:r w:rsidRPr="00C1573A">
              <w:rPr>
                <w:rFonts w:ascii="Arial" w:eastAsia="Cambria" w:hAnsi="Arial" w:cs="Arial"/>
                <w:bCs/>
                <w:color w:val="0F243E" w:themeColor="text2" w:themeShade="80"/>
                <w:sz w:val="20"/>
                <w:szCs w:val="20"/>
              </w:rPr>
              <w:t xml:space="preserve"> e Versanti nel PPTR). </w:t>
            </w:r>
          </w:p>
          <w:p w14:paraId="5A3E823E" w14:textId="77777777" w:rsidR="009043A4" w:rsidRPr="00C1573A" w:rsidRDefault="009043A4" w:rsidP="00B33416">
            <w:pPr>
              <w:tabs>
                <w:tab w:val="left" w:pos="4253"/>
                <w:tab w:val="left" w:pos="4962"/>
                <w:tab w:val="left" w:pos="5245"/>
              </w:tabs>
              <w:jc w:val="both"/>
              <w:rPr>
                <w:rFonts w:ascii="Arial" w:eastAsia="Cambria" w:hAnsi="Arial" w:cs="Arial"/>
                <w:bCs/>
                <w:color w:val="0F243E" w:themeColor="text2" w:themeShade="80"/>
                <w:sz w:val="20"/>
                <w:szCs w:val="20"/>
              </w:rPr>
            </w:pPr>
            <w:r w:rsidRPr="00C1573A">
              <w:rPr>
                <w:rFonts w:ascii="Arial" w:eastAsia="Cambria" w:hAnsi="Arial" w:cs="Arial"/>
                <w:bCs/>
                <w:color w:val="0F243E" w:themeColor="text2" w:themeShade="80"/>
                <w:sz w:val="20"/>
                <w:szCs w:val="20"/>
              </w:rPr>
              <w:t xml:space="preserve">Un altro aspetto da valutare è connesso alla presenza del Sito di importanza Comunitaria (SIC) identificato con codice IT9120008 denominato Bosco Difesa Grande, con un'estensione di circa 5 ha. Le principali valenze </w:t>
            </w:r>
            <w:proofErr w:type="spellStart"/>
            <w:r w:rsidRPr="00C1573A">
              <w:rPr>
                <w:rFonts w:ascii="Arial" w:eastAsia="Cambria" w:hAnsi="Arial" w:cs="Arial"/>
                <w:bCs/>
                <w:color w:val="0F243E" w:themeColor="text2" w:themeShade="80"/>
                <w:sz w:val="20"/>
                <w:szCs w:val="20"/>
              </w:rPr>
              <w:t>conservazionistiche</w:t>
            </w:r>
            <w:proofErr w:type="spellEnd"/>
            <w:r w:rsidRPr="00C1573A">
              <w:rPr>
                <w:rFonts w:ascii="Arial" w:eastAsia="Cambria" w:hAnsi="Arial" w:cs="Arial"/>
                <w:bCs/>
                <w:color w:val="0F243E" w:themeColor="text2" w:themeShade="80"/>
                <w:sz w:val="20"/>
                <w:szCs w:val="20"/>
              </w:rPr>
              <w:t xml:space="preserve"> che hanno portato alla individuazione dell'area quale Sito Natura 2000, sono l'eterogeneità ambientale caratterizzata dalla presenza di tre habitat comunitari e</w:t>
            </w:r>
          </w:p>
          <w:p w14:paraId="2B176CC0" w14:textId="77777777" w:rsidR="009043A4" w:rsidRPr="00C1573A" w:rsidRDefault="009043A4" w:rsidP="00B33416">
            <w:pPr>
              <w:tabs>
                <w:tab w:val="left" w:pos="4253"/>
                <w:tab w:val="left" w:pos="4962"/>
                <w:tab w:val="left" w:pos="5245"/>
              </w:tabs>
              <w:jc w:val="both"/>
              <w:rPr>
                <w:rFonts w:ascii="Arial" w:eastAsia="Cambria" w:hAnsi="Arial" w:cs="Arial"/>
                <w:bCs/>
                <w:color w:val="0F243E" w:themeColor="text2" w:themeShade="80"/>
                <w:sz w:val="20"/>
                <w:szCs w:val="20"/>
              </w:rPr>
            </w:pPr>
            <w:r w:rsidRPr="00C1573A">
              <w:rPr>
                <w:rFonts w:ascii="Arial" w:eastAsia="Cambria" w:hAnsi="Arial" w:cs="Arial"/>
                <w:bCs/>
                <w:color w:val="0F243E" w:themeColor="text2" w:themeShade="80"/>
                <w:sz w:val="20"/>
                <w:szCs w:val="20"/>
              </w:rPr>
              <w:t xml:space="preserve">prioritari ai sensi della Direttiva Habitat 92/43/CEE e la presenza di specie floristiche e faunistiche di interesse comunitario. Il Bosco Difesa Grande rappresenta il più importante sistema forestale della </w:t>
            </w:r>
            <w:r w:rsidRPr="00C1573A">
              <w:rPr>
                <w:rFonts w:ascii="Arial" w:eastAsia="Cambria" w:hAnsi="Arial" w:cs="Arial"/>
                <w:bCs/>
                <w:color w:val="0F243E" w:themeColor="text2" w:themeShade="80"/>
                <w:sz w:val="20"/>
                <w:szCs w:val="20"/>
              </w:rPr>
              <w:lastRenderedPageBreak/>
              <w:t>provincia di Bari per la presenza di diverse specie faunistiche. Inoltre, data l'estesa area boschiva è vulnerabile ad incendi, il che accrescerebbe notevolmente la sensibilità dell'area individuata dalla CNAPI. Questo porta ad un'esclusione dell'area sulla base del Criterio di Esclusione CE11 della Guida Tecnica n. 29.</w:t>
            </w:r>
          </w:p>
          <w:p w14:paraId="3CB3CEA1" w14:textId="77777777" w:rsidR="009043A4" w:rsidRDefault="009043A4" w:rsidP="00B33416">
            <w:pPr>
              <w:tabs>
                <w:tab w:val="left" w:pos="4253"/>
                <w:tab w:val="left" w:pos="4962"/>
                <w:tab w:val="left" w:pos="5245"/>
              </w:tabs>
              <w:jc w:val="both"/>
              <w:rPr>
                <w:rFonts w:ascii="Arial" w:eastAsia="Cambria" w:hAnsi="Arial" w:cs="Arial"/>
                <w:bCs/>
                <w:color w:val="0F243E" w:themeColor="text2" w:themeShade="80"/>
                <w:sz w:val="20"/>
                <w:szCs w:val="20"/>
              </w:rPr>
            </w:pPr>
            <w:r w:rsidRPr="00C1573A">
              <w:rPr>
                <w:rFonts w:ascii="Arial" w:eastAsia="Cambria" w:hAnsi="Arial" w:cs="Arial"/>
                <w:bCs/>
                <w:color w:val="0F243E" w:themeColor="text2" w:themeShade="80"/>
                <w:sz w:val="20"/>
                <w:szCs w:val="20"/>
              </w:rPr>
              <w:t>A conferma della singolarità ed importanza del territorio da un punto di vista paesaggistico, il confine dell'area individuata dalla CNAPI è solcato dalla strada provinciale SP 193, individuata a valenza paesaggistica dal PPTR della Regione Puglia.</w:t>
            </w:r>
          </w:p>
          <w:p w14:paraId="47A1778D" w14:textId="795E5EC7" w:rsidR="00E67EDB" w:rsidRPr="005027AA" w:rsidRDefault="00E67EDB" w:rsidP="00B33416">
            <w:pPr>
              <w:pStyle w:val="CAMPI"/>
              <w:spacing w:before="0" w:after="0" w:line="240" w:lineRule="auto"/>
              <w:jc w:val="both"/>
              <w:rPr>
                <w:rFonts w:cs="Arial"/>
                <w:sz w:val="20"/>
              </w:rPr>
            </w:pPr>
          </w:p>
        </w:tc>
      </w:tr>
      <w:bookmarkEnd w:id="0"/>
      <w:tr w:rsidR="00E67EDB" w14:paraId="71C210E8" w14:textId="77777777" w:rsidTr="00356BE7">
        <w:trPr>
          <w:trHeight w:val="567"/>
        </w:trPr>
        <w:tc>
          <w:tcPr>
            <w:tcW w:w="2943" w:type="dxa"/>
            <w:vAlign w:val="center"/>
          </w:tcPr>
          <w:p w14:paraId="734A2FE9" w14:textId="7BAF8B84" w:rsidR="00E67EDB" w:rsidRDefault="00E67EDB" w:rsidP="00356BE7">
            <w:pPr>
              <w:pStyle w:val="LABELSEMPLICI"/>
            </w:pPr>
            <w:r w:rsidRPr="00E67EDB">
              <w:lastRenderedPageBreak/>
              <w:t xml:space="preserve">CE12. </w:t>
            </w:r>
            <w:r>
              <w:t xml:space="preserve">aree </w:t>
            </w:r>
            <w:r w:rsidRPr="00E67EDB">
              <w:t>che non siano ad adeguata distanza dai centri abitati</w:t>
            </w:r>
          </w:p>
        </w:tc>
        <w:tc>
          <w:tcPr>
            <w:tcW w:w="6266" w:type="dxa"/>
            <w:shd w:val="clear" w:color="auto" w:fill="FFFFFF"/>
            <w:vAlign w:val="center"/>
          </w:tcPr>
          <w:p w14:paraId="001CF3D0" w14:textId="6E845E1A" w:rsidR="00E67EDB" w:rsidRPr="005027AA" w:rsidRDefault="00E12D12" w:rsidP="005027AA">
            <w:pPr>
              <w:pStyle w:val="CAMPI"/>
              <w:spacing w:before="0" w:after="0" w:line="240" w:lineRule="auto"/>
              <w:jc w:val="both"/>
              <w:rPr>
                <w:rFonts w:cs="Arial"/>
                <w:sz w:val="20"/>
              </w:rPr>
            </w:pPr>
            <w:r w:rsidRPr="005027AA">
              <w:rPr>
                <w:rFonts w:cs="Arial"/>
                <w:sz w:val="20"/>
              </w:rPr>
              <w:t>NONE</w:t>
            </w:r>
          </w:p>
        </w:tc>
      </w:tr>
      <w:tr w:rsidR="00E67EDB" w14:paraId="6F0557C8" w14:textId="77777777" w:rsidTr="00356BE7">
        <w:trPr>
          <w:trHeight w:val="567"/>
        </w:trPr>
        <w:tc>
          <w:tcPr>
            <w:tcW w:w="2943" w:type="dxa"/>
            <w:vAlign w:val="center"/>
          </w:tcPr>
          <w:p w14:paraId="3D0F83C7" w14:textId="188843F0" w:rsidR="00E67EDB" w:rsidRDefault="00E67EDB" w:rsidP="00356BE7">
            <w:pPr>
              <w:pStyle w:val="LABELSEMPLICI"/>
            </w:pPr>
            <w:r w:rsidRPr="00E67EDB">
              <w:t xml:space="preserve">CE13. </w:t>
            </w:r>
            <w:r>
              <w:t xml:space="preserve">aree </w:t>
            </w:r>
            <w:r w:rsidRPr="00E67EDB">
              <w:t>che siano a distanza inferiore a 1 km da autostrade e strade extraurbane principali e da linee ferroviarie fondamentali e complementari</w:t>
            </w:r>
          </w:p>
        </w:tc>
        <w:tc>
          <w:tcPr>
            <w:tcW w:w="6266" w:type="dxa"/>
            <w:shd w:val="clear" w:color="auto" w:fill="FFFFFF"/>
            <w:vAlign w:val="center"/>
          </w:tcPr>
          <w:p w14:paraId="173F35F3" w14:textId="5597A27C" w:rsidR="00E67EDB" w:rsidRPr="005027AA" w:rsidRDefault="00E12D12" w:rsidP="005027AA">
            <w:pPr>
              <w:pStyle w:val="CAMPI"/>
              <w:spacing w:before="0" w:after="0" w:line="240" w:lineRule="auto"/>
              <w:jc w:val="both"/>
              <w:rPr>
                <w:rFonts w:cs="Arial"/>
                <w:sz w:val="20"/>
              </w:rPr>
            </w:pPr>
            <w:r w:rsidRPr="005027AA">
              <w:rPr>
                <w:rFonts w:cs="Arial"/>
                <w:sz w:val="20"/>
              </w:rPr>
              <w:t>NONE</w:t>
            </w:r>
          </w:p>
        </w:tc>
      </w:tr>
      <w:tr w:rsidR="00E67EDB" w14:paraId="25AB9A63" w14:textId="77777777" w:rsidTr="00356BE7">
        <w:trPr>
          <w:trHeight w:val="567"/>
        </w:trPr>
        <w:tc>
          <w:tcPr>
            <w:tcW w:w="2943" w:type="dxa"/>
            <w:vAlign w:val="center"/>
          </w:tcPr>
          <w:p w14:paraId="3B058FD0" w14:textId="3EA300C4" w:rsidR="00E67EDB" w:rsidRDefault="00E67EDB" w:rsidP="00356BE7">
            <w:pPr>
              <w:pStyle w:val="LABELSEMPLICI"/>
            </w:pPr>
            <w:r w:rsidRPr="00E67EDB">
              <w:t xml:space="preserve">CE14. </w:t>
            </w:r>
            <w:r>
              <w:t xml:space="preserve">aree </w:t>
            </w:r>
            <w:r w:rsidRPr="00E67EDB">
              <w:t>caratterizzate dalla presenza nota di importanti risorse del sottosuolo</w:t>
            </w:r>
          </w:p>
        </w:tc>
        <w:tc>
          <w:tcPr>
            <w:tcW w:w="6266" w:type="dxa"/>
            <w:shd w:val="clear" w:color="auto" w:fill="FFFFFF"/>
            <w:vAlign w:val="center"/>
          </w:tcPr>
          <w:p w14:paraId="05A64AE2" w14:textId="77777777" w:rsidR="00E23AA1" w:rsidRPr="0093087F" w:rsidRDefault="00E23AA1" w:rsidP="00E23AA1">
            <w:pPr>
              <w:pStyle w:val="CAMPI"/>
              <w:spacing w:before="0" w:after="0" w:line="240" w:lineRule="auto"/>
              <w:jc w:val="both"/>
              <w:rPr>
                <w:rFonts w:cs="Arial"/>
                <w:sz w:val="20"/>
              </w:rPr>
            </w:pPr>
            <w:r w:rsidRPr="0093087F">
              <w:rPr>
                <w:rFonts w:cs="Arial"/>
                <w:sz w:val="20"/>
              </w:rPr>
              <w:t>A grande scala, tutte le API sono ubicate ad una distanza dai pozzi più prossimali gestiti da AQP per l’Approvvigionamento Idrico della Regione Puglia, compresa tra i 7 Km (Distanza BA-5 – Pozzo Gravina) e i 21 Km (Distanza MT-16 – Campo Pozzi Castellaneta). Inoltre tutte le aree sono prossime a quelle caratterizzate dal Piano di tutela delle Acque (PTA) quali “Zone di Protezione Speciale Idrogeologica di Tipo A”, definite come essenziali per la ricarica della falda idrica che alimenta tutto il territorio pugliese e quindi considerate strategiche per la Regione Puglia.</w:t>
            </w:r>
            <w:r w:rsidRPr="0093087F">
              <w:rPr>
                <w:sz w:val="20"/>
              </w:rPr>
              <w:t xml:space="preserve"> </w:t>
            </w:r>
          </w:p>
          <w:p w14:paraId="5793609F" w14:textId="77777777" w:rsidR="00E23AA1" w:rsidRDefault="00E23AA1" w:rsidP="00E23AA1">
            <w:pPr>
              <w:pStyle w:val="CAMPI"/>
              <w:spacing w:before="0" w:after="0" w:line="240" w:lineRule="auto"/>
              <w:jc w:val="both"/>
              <w:rPr>
                <w:rFonts w:cs="Arial"/>
                <w:sz w:val="20"/>
              </w:rPr>
            </w:pPr>
            <w:r w:rsidRPr="0093087F">
              <w:rPr>
                <w:rFonts w:cs="Arial"/>
                <w:sz w:val="20"/>
              </w:rPr>
              <w:t xml:space="preserve">L’API </w:t>
            </w:r>
            <w:r>
              <w:rPr>
                <w:rFonts w:cs="Arial"/>
                <w:sz w:val="20"/>
              </w:rPr>
              <w:t>B</w:t>
            </w:r>
            <w:r w:rsidRPr="0093087F">
              <w:rPr>
                <w:rFonts w:cs="Arial"/>
                <w:sz w:val="20"/>
              </w:rPr>
              <w:t>A</w:t>
            </w:r>
            <w:r>
              <w:rPr>
                <w:rFonts w:cs="Arial"/>
                <w:sz w:val="20"/>
              </w:rPr>
              <w:t>-5</w:t>
            </w:r>
            <w:r w:rsidRPr="0093087F">
              <w:rPr>
                <w:rFonts w:cs="Arial"/>
                <w:sz w:val="20"/>
              </w:rPr>
              <w:t>, come tutte le altre, è compresa nel bacino idrogeologico delle risorgive carsiche del Fiume Tara (Maggiore e Pagliarulo, 2004).</w:t>
            </w:r>
          </w:p>
          <w:p w14:paraId="6DB5FC26" w14:textId="6BE522A4" w:rsidR="00707908" w:rsidRDefault="00E23AA1" w:rsidP="00E23AA1">
            <w:pPr>
              <w:pStyle w:val="CAMPI"/>
              <w:spacing w:before="0" w:after="0" w:line="240" w:lineRule="auto"/>
              <w:jc w:val="both"/>
              <w:rPr>
                <w:rFonts w:cs="Arial"/>
                <w:sz w:val="20"/>
              </w:rPr>
            </w:pPr>
            <w:r>
              <w:rPr>
                <w:rFonts w:cs="Arial"/>
                <w:sz w:val="20"/>
              </w:rPr>
              <w:t>A scala locale, l</w:t>
            </w:r>
            <w:r w:rsidRPr="00CC7E9C">
              <w:rPr>
                <w:rFonts w:cs="Arial"/>
                <w:sz w:val="20"/>
              </w:rPr>
              <w:t xml:space="preserve">a </w:t>
            </w:r>
            <w:r w:rsidR="005027AA" w:rsidRPr="00CC7E9C">
              <w:rPr>
                <w:rFonts w:cs="Arial"/>
                <w:sz w:val="20"/>
              </w:rPr>
              <w:t xml:space="preserve">falda superficiale </w:t>
            </w:r>
            <w:r w:rsidR="006D6971" w:rsidRPr="00CC7E9C">
              <w:rPr>
                <w:rFonts w:cs="Arial"/>
                <w:sz w:val="20"/>
              </w:rPr>
              <w:t>alimenta lo storico Acquedotto Fontana della Stella, realizzato dagli Orsini nel 1700, oggetto di varie pubblicazioni</w:t>
            </w:r>
            <w:r w:rsidR="005E6764" w:rsidRPr="00CC7E9C">
              <w:rPr>
                <w:rFonts w:cs="Arial"/>
                <w:sz w:val="20"/>
              </w:rPr>
              <w:t>.</w:t>
            </w:r>
            <w:r w:rsidR="005E6764" w:rsidRPr="00CC7E9C">
              <w:rPr>
                <w:rFonts w:eastAsia="Calibri" w:cs="Arial"/>
                <w:sz w:val="20"/>
                <w:lang w:eastAsia="en-US"/>
              </w:rPr>
              <w:t xml:space="preserve"> Esso è parte di una rete di tre acquedotti realizzata nel ‘700, un tempo </w:t>
            </w:r>
            <w:r w:rsidR="005E6764" w:rsidRPr="00525BBB">
              <w:rPr>
                <w:rFonts w:eastAsia="Calibri" w:cs="Arial"/>
                <w:sz w:val="20"/>
                <w:lang w:eastAsia="en-US"/>
              </w:rPr>
              <w:t>a servizio dell’abitato di Gravina in Puglia, alimentata da acquiferi superficiali che hanno sede all’interno dei depositi dell</w:t>
            </w:r>
            <w:r w:rsidR="00C1573A">
              <w:rPr>
                <w:rFonts w:eastAsia="Calibri" w:cs="Arial"/>
                <w:sz w:val="20"/>
                <w:lang w:eastAsia="en-US"/>
              </w:rPr>
              <w:t>a</w:t>
            </w:r>
            <w:r w:rsidR="005E6764" w:rsidRPr="00525BBB">
              <w:rPr>
                <w:rFonts w:eastAsia="Calibri" w:cs="Arial"/>
                <w:sz w:val="20"/>
                <w:lang w:eastAsia="en-US"/>
              </w:rPr>
              <w:t xml:space="preserve"> </w:t>
            </w:r>
            <w:proofErr w:type="spellStart"/>
            <w:r w:rsidR="005E6764" w:rsidRPr="00525BBB">
              <w:rPr>
                <w:rFonts w:eastAsia="Calibri" w:cs="Arial"/>
                <w:sz w:val="20"/>
                <w:lang w:eastAsia="en-US"/>
              </w:rPr>
              <w:t>Calcarenit</w:t>
            </w:r>
            <w:r w:rsidR="00C1573A">
              <w:rPr>
                <w:rFonts w:eastAsia="Calibri" w:cs="Arial"/>
                <w:sz w:val="20"/>
                <w:lang w:eastAsia="en-US"/>
              </w:rPr>
              <w:t>e</w:t>
            </w:r>
            <w:proofErr w:type="spellEnd"/>
            <w:r w:rsidR="005E6764" w:rsidRPr="00525BBB">
              <w:rPr>
                <w:rFonts w:eastAsia="Calibri" w:cs="Arial"/>
                <w:sz w:val="20"/>
                <w:lang w:eastAsia="en-US"/>
              </w:rPr>
              <w:t xml:space="preserve"> di Gravina e delle </w:t>
            </w:r>
            <w:r w:rsidR="00C1573A">
              <w:rPr>
                <w:rFonts w:eastAsia="Calibri" w:cs="Arial"/>
                <w:sz w:val="20"/>
                <w:lang w:eastAsia="en-US"/>
              </w:rPr>
              <w:t>sabbie</w:t>
            </w:r>
            <w:r w:rsidR="005E6764" w:rsidRPr="00525BBB">
              <w:rPr>
                <w:rFonts w:eastAsia="Calibri" w:cs="Arial"/>
                <w:sz w:val="20"/>
                <w:lang w:eastAsia="en-US"/>
              </w:rPr>
              <w:t xml:space="preserve"> di Monte Marano. Le sorgenti che alimentano i tre acquedotti sono perenni, tuttavia presentano portate esigue, in genere non superiori a 3 l/s, con scaturigini prevalentemente di tipo diffuso e dovute a limite di permeabilità esistente tra i depositi del</w:t>
            </w:r>
            <w:r w:rsidR="00C1573A">
              <w:rPr>
                <w:rFonts w:eastAsia="Calibri" w:cs="Arial"/>
                <w:sz w:val="20"/>
                <w:lang w:eastAsia="en-US"/>
              </w:rPr>
              <w:t xml:space="preserve">le formazioni sopra citati e le </w:t>
            </w:r>
            <w:r w:rsidR="00C1573A">
              <w:rPr>
                <w:rFonts w:cs="Arial"/>
                <w:sz w:val="20"/>
              </w:rPr>
              <w:t>argille s</w:t>
            </w:r>
            <w:r w:rsidR="005E6764" w:rsidRPr="00525BBB">
              <w:rPr>
                <w:rFonts w:cs="Arial"/>
                <w:sz w:val="20"/>
              </w:rPr>
              <w:t xml:space="preserve">ubappennine del </w:t>
            </w:r>
            <w:proofErr w:type="spellStart"/>
            <w:r w:rsidR="005E6764" w:rsidRPr="00525BBB">
              <w:rPr>
                <w:rFonts w:cs="Arial"/>
                <w:sz w:val="20"/>
              </w:rPr>
              <w:t>Plio</w:t>
            </w:r>
            <w:proofErr w:type="spellEnd"/>
            <w:r w:rsidR="005E6764" w:rsidRPr="00525BBB">
              <w:rPr>
                <w:rFonts w:cs="Arial"/>
                <w:sz w:val="20"/>
              </w:rPr>
              <w:t>-Pleistocene.</w:t>
            </w:r>
            <w:r w:rsidR="00891D43" w:rsidRPr="00525BBB">
              <w:rPr>
                <w:rFonts w:cs="Arial"/>
                <w:sz w:val="20"/>
              </w:rPr>
              <w:t xml:space="preserve"> </w:t>
            </w:r>
          </w:p>
          <w:p w14:paraId="59358601" w14:textId="77777777" w:rsidR="00E67EDB" w:rsidRDefault="00891D43" w:rsidP="00707908">
            <w:pPr>
              <w:pStyle w:val="CAMPI"/>
              <w:spacing w:before="0" w:after="0" w:line="240" w:lineRule="auto"/>
              <w:jc w:val="both"/>
              <w:rPr>
                <w:rFonts w:cs="Arial"/>
                <w:sz w:val="20"/>
              </w:rPr>
            </w:pPr>
            <w:r w:rsidRPr="00525BBB">
              <w:rPr>
                <w:rFonts w:cs="Arial"/>
                <w:sz w:val="20"/>
              </w:rPr>
              <w:t>Occorre sottolineare che la Puglia è caratterizzata dalla</w:t>
            </w:r>
            <w:r w:rsidR="00707908">
              <w:rPr>
                <w:rFonts w:cs="Arial"/>
                <w:sz w:val="20"/>
              </w:rPr>
              <w:t xml:space="preserve"> </w:t>
            </w:r>
            <w:r w:rsidRPr="00525BBB">
              <w:rPr>
                <w:rFonts w:cs="Arial"/>
                <w:sz w:val="20"/>
              </w:rPr>
              <w:t>più atavica e ridotta disponibilità idrica d’Italia che rende l’acqua</w:t>
            </w:r>
            <w:r w:rsidR="00707908">
              <w:rPr>
                <w:rFonts w:cs="Arial"/>
                <w:sz w:val="20"/>
              </w:rPr>
              <w:t xml:space="preserve"> </w:t>
            </w:r>
            <w:r w:rsidRPr="00525BBB">
              <w:rPr>
                <w:rFonts w:cs="Arial"/>
                <w:sz w:val="20"/>
              </w:rPr>
              <w:t>una risorsa naturale preziosa, quasi al pari delle altre risorse del</w:t>
            </w:r>
            <w:r w:rsidR="00707908">
              <w:rPr>
                <w:rFonts w:cs="Arial"/>
                <w:sz w:val="20"/>
              </w:rPr>
              <w:t xml:space="preserve"> </w:t>
            </w:r>
            <w:r w:rsidRPr="00525BBB">
              <w:rPr>
                <w:rFonts w:cs="Arial"/>
                <w:sz w:val="20"/>
              </w:rPr>
              <w:t>sottosuolo come gas, petrolio o risorse minerarie menziona</w:t>
            </w:r>
            <w:r w:rsidR="00525BBB">
              <w:rPr>
                <w:rFonts w:cs="Arial"/>
                <w:sz w:val="20"/>
              </w:rPr>
              <w:t xml:space="preserve">te tra i criteri di esclusione. </w:t>
            </w:r>
          </w:p>
          <w:p w14:paraId="5F6AF7A7" w14:textId="7562B1F2" w:rsidR="00E23AA1" w:rsidRPr="005027AA" w:rsidRDefault="00E23AA1" w:rsidP="00707908">
            <w:pPr>
              <w:pStyle w:val="CAMPI"/>
              <w:spacing w:before="0" w:after="0" w:line="240" w:lineRule="auto"/>
              <w:jc w:val="both"/>
              <w:rPr>
                <w:rFonts w:cs="Arial"/>
                <w:sz w:val="20"/>
              </w:rPr>
            </w:pPr>
            <w:r>
              <w:rPr>
                <w:rFonts w:cs="Arial"/>
                <w:sz w:val="20"/>
              </w:rPr>
              <w:t>Pertanto, l’insieme dei caratteri suggerisce l’esclusione del sito.</w:t>
            </w:r>
          </w:p>
        </w:tc>
      </w:tr>
      <w:tr w:rsidR="00E67EDB" w14:paraId="36B22219" w14:textId="77777777" w:rsidTr="00356BE7">
        <w:trPr>
          <w:trHeight w:val="567"/>
        </w:trPr>
        <w:tc>
          <w:tcPr>
            <w:tcW w:w="2943" w:type="dxa"/>
            <w:vAlign w:val="center"/>
          </w:tcPr>
          <w:p w14:paraId="434E7DD7" w14:textId="4D0875EA" w:rsidR="00E67EDB" w:rsidRDefault="00E67EDB" w:rsidP="00356BE7">
            <w:pPr>
              <w:pStyle w:val="LABELSEMPLICI"/>
            </w:pPr>
            <w:r w:rsidRPr="00E67EDB">
              <w:t xml:space="preserve">CE15. </w:t>
            </w:r>
            <w:r>
              <w:t xml:space="preserve">aree </w:t>
            </w:r>
            <w:r w:rsidRPr="00E67EDB">
              <w:t xml:space="preserve">caratterizzate dalla presenza di attività industriali a rischio </w:t>
            </w:r>
            <w:r w:rsidR="005027AA">
              <w:t>di incidente rilevante</w:t>
            </w:r>
            <w:r w:rsidRPr="00E67EDB">
              <w:t>, dighe e sbarramenti idraulici artificiali, aeroporti o poligoni di tiro militari operativi</w:t>
            </w:r>
          </w:p>
        </w:tc>
        <w:tc>
          <w:tcPr>
            <w:tcW w:w="6266" w:type="dxa"/>
            <w:shd w:val="clear" w:color="auto" w:fill="FFFFFF"/>
            <w:vAlign w:val="center"/>
          </w:tcPr>
          <w:p w14:paraId="353E6B96" w14:textId="6C285433" w:rsidR="00E67EDB" w:rsidRDefault="00CF3FEC" w:rsidP="00356BE7">
            <w:pPr>
              <w:pStyle w:val="CAMPI"/>
              <w:jc w:val="both"/>
            </w:pPr>
            <w:r>
              <w:t>NONE</w:t>
            </w:r>
          </w:p>
        </w:tc>
      </w:tr>
    </w:tbl>
    <w:p w14:paraId="1328513F" w14:textId="0CC19F9A" w:rsidR="00D2026E" w:rsidRDefault="00D2026E">
      <w:pPr>
        <w:tabs>
          <w:tab w:val="left" w:pos="4253"/>
          <w:tab w:val="left" w:pos="4962"/>
          <w:tab w:val="left" w:pos="5245"/>
        </w:tabs>
        <w:spacing w:line="276" w:lineRule="auto"/>
        <w:jc w:val="both"/>
        <w:rPr>
          <w:rFonts w:asciiTheme="majorHAnsi" w:hAnsiTheme="majorHAnsi"/>
          <w:sz w:val="20"/>
        </w:rPr>
      </w:pPr>
    </w:p>
    <w:p w14:paraId="4DFCCF93" w14:textId="0CA72BCD" w:rsidR="00E67EDB" w:rsidRDefault="00E67EDB">
      <w:pPr>
        <w:rPr>
          <w:rFonts w:asciiTheme="majorHAnsi" w:hAnsiTheme="majorHAnsi"/>
          <w:sz w:val="20"/>
        </w:rPr>
      </w:pPr>
    </w:p>
    <w:p w14:paraId="586A6992" w14:textId="77777777" w:rsidR="00E67EDB" w:rsidRDefault="00E67EDB" w:rsidP="00E67EDB">
      <w:pPr>
        <w:tabs>
          <w:tab w:val="left" w:pos="4253"/>
          <w:tab w:val="left" w:pos="4962"/>
          <w:tab w:val="left" w:pos="5245"/>
        </w:tabs>
        <w:spacing w:line="276" w:lineRule="auto"/>
        <w:jc w:val="both"/>
        <w:rPr>
          <w:rFonts w:asciiTheme="majorHAnsi" w:eastAsia="Cambria" w:hAnsiTheme="majorHAnsi"/>
          <w:b/>
          <w:bCs/>
          <w:color w:val="0F243E" w:themeColor="text2" w:themeShade="8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E67EDB" w14:paraId="7664DEEF" w14:textId="77777777" w:rsidTr="00356BE7">
        <w:trPr>
          <w:trHeight w:val="567"/>
        </w:trPr>
        <w:tc>
          <w:tcPr>
            <w:tcW w:w="2943" w:type="dxa"/>
            <w:shd w:val="clear" w:color="auto" w:fill="333399"/>
            <w:vAlign w:val="center"/>
          </w:tcPr>
          <w:p w14:paraId="719096EA" w14:textId="77777777" w:rsidR="00E67EDB" w:rsidRDefault="00E67EDB" w:rsidP="00356BE7">
            <w:pPr>
              <w:pStyle w:val="LABELOBBLIGATORI"/>
              <w:jc w:val="center"/>
            </w:pPr>
            <w:r w:rsidRPr="00E67EDB">
              <w:t>CRITERI</w:t>
            </w:r>
            <w:r>
              <w:t>O</w:t>
            </w:r>
            <w:r w:rsidRPr="00E67EDB">
              <w:t xml:space="preserve"> DI</w:t>
            </w:r>
            <w:r>
              <w:t xml:space="preserve"> </w:t>
            </w:r>
          </w:p>
          <w:p w14:paraId="0560D970" w14:textId="770763E7" w:rsidR="00E67EDB" w:rsidRDefault="00E67EDB" w:rsidP="00356BE7">
            <w:pPr>
              <w:pStyle w:val="LABELOBBLIGATORI"/>
              <w:jc w:val="center"/>
            </w:pPr>
            <w:r w:rsidRPr="00E67EDB">
              <w:t>APPROFONDIMENTO</w:t>
            </w:r>
          </w:p>
        </w:tc>
        <w:tc>
          <w:tcPr>
            <w:tcW w:w="6266" w:type="dxa"/>
            <w:shd w:val="clear" w:color="auto" w:fill="B8CCE4" w:themeFill="accent1" w:themeFillTint="66"/>
            <w:vAlign w:val="center"/>
          </w:tcPr>
          <w:p w14:paraId="6F825788" w14:textId="77777777" w:rsidR="00E67EDB" w:rsidRDefault="00E67EDB" w:rsidP="00356BE7">
            <w:pPr>
              <w:pStyle w:val="LABELOBBLIGATORI"/>
              <w:jc w:val="center"/>
            </w:pPr>
            <w:r w:rsidRPr="00C24F6B">
              <w:rPr>
                <w:color w:val="0F243E" w:themeColor="text2" w:themeShade="80"/>
              </w:rPr>
              <w:t>COMMENTI</w:t>
            </w:r>
          </w:p>
        </w:tc>
      </w:tr>
      <w:tr w:rsidR="00E67EDB" w14:paraId="6451441C" w14:textId="77777777" w:rsidTr="00356BE7">
        <w:trPr>
          <w:trHeight w:val="567"/>
        </w:trPr>
        <w:tc>
          <w:tcPr>
            <w:tcW w:w="2943" w:type="dxa"/>
            <w:vAlign w:val="center"/>
          </w:tcPr>
          <w:p w14:paraId="16C971A2" w14:textId="6EA250BD" w:rsidR="00E67EDB" w:rsidRDefault="00E67EDB" w:rsidP="00356BE7">
            <w:pPr>
              <w:pStyle w:val="LABELSEMPLICI"/>
            </w:pPr>
            <w:r w:rsidRPr="00E67EDB">
              <w:t>CA1. presenza di manifestazioni vulcaniche secondarie</w:t>
            </w:r>
          </w:p>
        </w:tc>
        <w:tc>
          <w:tcPr>
            <w:tcW w:w="6266" w:type="dxa"/>
            <w:shd w:val="clear" w:color="auto" w:fill="FFFFFF"/>
            <w:vAlign w:val="center"/>
          </w:tcPr>
          <w:p w14:paraId="4919229A" w14:textId="39402107" w:rsidR="00E67EDB" w:rsidRDefault="009277DE" w:rsidP="00356BE7">
            <w:pPr>
              <w:pStyle w:val="CAMPI"/>
              <w:jc w:val="both"/>
            </w:pPr>
            <w:r>
              <w:t>NONE</w:t>
            </w:r>
          </w:p>
        </w:tc>
      </w:tr>
      <w:tr w:rsidR="00E67EDB" w14:paraId="40E85097" w14:textId="77777777" w:rsidTr="00356BE7">
        <w:trPr>
          <w:trHeight w:val="567"/>
        </w:trPr>
        <w:tc>
          <w:tcPr>
            <w:tcW w:w="2943" w:type="dxa"/>
            <w:vAlign w:val="center"/>
          </w:tcPr>
          <w:p w14:paraId="1CAEE208" w14:textId="740D9E7C" w:rsidR="00E67EDB" w:rsidRDefault="00E67EDB" w:rsidP="00356BE7">
            <w:pPr>
              <w:pStyle w:val="LABELSEMPLICI"/>
            </w:pPr>
            <w:r w:rsidRPr="00E67EDB">
              <w:lastRenderedPageBreak/>
              <w:t>CA2. presenza di movimenti verticali significativi del suolo in conseguenza di fenomeni di subsidenza e di sollevamento (tettonico e/o isostatico)</w:t>
            </w:r>
          </w:p>
        </w:tc>
        <w:tc>
          <w:tcPr>
            <w:tcW w:w="6266" w:type="dxa"/>
            <w:shd w:val="clear" w:color="auto" w:fill="FFFFFF"/>
            <w:vAlign w:val="center"/>
          </w:tcPr>
          <w:p w14:paraId="3B14AB22" w14:textId="6CB0E054" w:rsidR="00E07C6E" w:rsidRPr="00C1087C" w:rsidRDefault="00E07C6E" w:rsidP="000B7B2D">
            <w:pPr>
              <w:pStyle w:val="CAMPI"/>
              <w:spacing w:before="0" w:after="0" w:line="240" w:lineRule="auto"/>
              <w:jc w:val="both"/>
              <w:rPr>
                <w:sz w:val="20"/>
              </w:rPr>
            </w:pPr>
            <w:r w:rsidRPr="00C1087C">
              <w:rPr>
                <w:sz w:val="20"/>
              </w:rPr>
              <w:t xml:space="preserve">Nel relativo punto della Relazione Tecnica vengono genericamente richiamati dati bibliografici, che non trovano alcun riscontro nei “Riferimenti bibliografici”, nonché dati radar interferometrici, questi ultimi non presentati in alcun modo. Tuttavia, </w:t>
            </w:r>
            <w:proofErr w:type="spellStart"/>
            <w:r w:rsidRPr="00C1087C">
              <w:rPr>
                <w:sz w:val="20"/>
              </w:rPr>
              <w:t>Ciaranfi</w:t>
            </w:r>
            <w:proofErr w:type="spellEnd"/>
            <w:r w:rsidRPr="00C1087C">
              <w:rPr>
                <w:sz w:val="20"/>
              </w:rPr>
              <w:t xml:space="preserve"> et al. (1983) indicano per l’area del sito BA-5 un sollevamento tettonic</w:t>
            </w:r>
            <w:r w:rsidR="00525BBB" w:rsidRPr="00C1087C">
              <w:rPr>
                <w:sz w:val="20"/>
              </w:rPr>
              <w:t>o dal Pleistocene medio</w:t>
            </w:r>
            <w:r w:rsidRPr="00C1087C">
              <w:rPr>
                <w:sz w:val="20"/>
              </w:rPr>
              <w:t xml:space="preserve">, stimato da 0.5 a 1 mm/a sulla base di dati sia stratigrafici regionali sia puntuali GPS-VLBI, raccolti dal vicino Centro di Geodesia Spaziale “Giuseppe Colombo” di Matera sul blocco meridionale sollevato del </w:t>
            </w:r>
            <w:proofErr w:type="spellStart"/>
            <w:r w:rsidRPr="00C1087C">
              <w:rPr>
                <w:sz w:val="20"/>
              </w:rPr>
              <w:t>Graben</w:t>
            </w:r>
            <w:proofErr w:type="spellEnd"/>
            <w:r w:rsidRPr="00C1087C">
              <w:rPr>
                <w:sz w:val="20"/>
              </w:rPr>
              <w:t xml:space="preserve"> di </w:t>
            </w:r>
            <w:proofErr w:type="spellStart"/>
            <w:r w:rsidRPr="00C1087C">
              <w:rPr>
                <w:sz w:val="20"/>
              </w:rPr>
              <w:t>Viglione</w:t>
            </w:r>
            <w:proofErr w:type="spellEnd"/>
            <w:r w:rsidRPr="00C1087C">
              <w:rPr>
                <w:sz w:val="20"/>
              </w:rPr>
              <w:t xml:space="preserve"> (Fig. 5) (Festa et al., 1999).</w:t>
            </w:r>
          </w:p>
          <w:p w14:paraId="7C220A0B" w14:textId="7B956122" w:rsidR="00E67EDB" w:rsidRDefault="00566B83" w:rsidP="000B7B2D">
            <w:pPr>
              <w:pStyle w:val="CAMPI"/>
              <w:spacing w:before="0" w:after="0" w:line="240" w:lineRule="auto"/>
              <w:jc w:val="both"/>
            </w:pPr>
            <w:r w:rsidRPr="000B7B2D">
              <w:rPr>
                <w:sz w:val="20"/>
              </w:rPr>
              <w:t>Dato l’esiguo numero di potenziali PS presenti nell’area</w:t>
            </w:r>
            <w:r w:rsidR="00707908">
              <w:rPr>
                <w:sz w:val="20"/>
              </w:rPr>
              <w:t xml:space="preserve"> e l’analisi effettua</w:t>
            </w:r>
            <w:r w:rsidRPr="000B7B2D">
              <w:rPr>
                <w:sz w:val="20"/>
              </w:rPr>
              <w:t xml:space="preserve">ta su dati ERS e ENVISAT che coprono un intervallo temporale che si ferma al massimo al 2010, sono necessari approfondimenti per gli ultimi 10 anni con </w:t>
            </w:r>
            <w:r w:rsidR="00C1087C">
              <w:rPr>
                <w:sz w:val="20"/>
              </w:rPr>
              <w:t>dati più recenti (es. SENTINEL)</w:t>
            </w:r>
            <w:r w:rsidRPr="000B7B2D">
              <w:rPr>
                <w:sz w:val="20"/>
              </w:rPr>
              <w:t xml:space="preserve"> e a maggior risoluzione (es. CSK).</w:t>
            </w:r>
          </w:p>
        </w:tc>
      </w:tr>
      <w:tr w:rsidR="00E67EDB" w14:paraId="58D0FD32" w14:textId="77777777" w:rsidTr="00356BE7">
        <w:trPr>
          <w:trHeight w:val="567"/>
        </w:trPr>
        <w:tc>
          <w:tcPr>
            <w:tcW w:w="2943" w:type="dxa"/>
            <w:vAlign w:val="center"/>
          </w:tcPr>
          <w:p w14:paraId="2B688FCB" w14:textId="6CE47766" w:rsidR="00E67EDB" w:rsidRDefault="00E67EDB" w:rsidP="00356BE7">
            <w:pPr>
              <w:pStyle w:val="LABELSEMPLICI"/>
            </w:pPr>
            <w:r w:rsidRPr="00E67EDB">
              <w:t xml:space="preserve">CA3. assetto geologico-morfostrutturale e presenza di </w:t>
            </w:r>
            <w:proofErr w:type="spellStart"/>
            <w:r w:rsidRPr="00E67EDB">
              <w:t>litotipi</w:t>
            </w:r>
            <w:proofErr w:type="spellEnd"/>
            <w:r w:rsidRPr="00E67EDB">
              <w:t xml:space="preserve"> con </w:t>
            </w:r>
            <w:proofErr w:type="spellStart"/>
            <w:r w:rsidRPr="00E67EDB">
              <w:t>eteropia</w:t>
            </w:r>
            <w:proofErr w:type="spellEnd"/>
            <w:r w:rsidRPr="00E67EDB">
              <w:t xml:space="preserve"> verticale e laterale</w:t>
            </w:r>
          </w:p>
        </w:tc>
        <w:tc>
          <w:tcPr>
            <w:tcW w:w="6266" w:type="dxa"/>
            <w:shd w:val="clear" w:color="auto" w:fill="FFFFFF"/>
            <w:vAlign w:val="center"/>
          </w:tcPr>
          <w:p w14:paraId="563F6268" w14:textId="77777777" w:rsidR="00DC256A" w:rsidRDefault="00E07C6E" w:rsidP="000B7B2D">
            <w:pPr>
              <w:pStyle w:val="CAMPI"/>
              <w:spacing w:before="0" w:after="0" w:line="240" w:lineRule="auto"/>
              <w:jc w:val="both"/>
              <w:rPr>
                <w:sz w:val="20"/>
              </w:rPr>
            </w:pPr>
            <w:r w:rsidRPr="00C1087C">
              <w:rPr>
                <w:sz w:val="20"/>
              </w:rPr>
              <w:t xml:space="preserve">Gli aspetti geologico-morfostrutturali, completamente trascurati nella Relazione Tecnica, meritano necessariamente i dovuti approfondimenti riguardo alle scarpate di linea di faglia dei bordi settentrionale e meridionale del </w:t>
            </w:r>
            <w:proofErr w:type="spellStart"/>
            <w:r w:rsidRPr="00C1087C">
              <w:rPr>
                <w:sz w:val="20"/>
              </w:rPr>
              <w:t>Graben</w:t>
            </w:r>
            <w:proofErr w:type="spellEnd"/>
            <w:r w:rsidRPr="00C1087C">
              <w:rPr>
                <w:sz w:val="20"/>
              </w:rPr>
              <w:t xml:space="preserve"> di </w:t>
            </w:r>
            <w:proofErr w:type="spellStart"/>
            <w:r w:rsidRPr="00C1087C">
              <w:rPr>
                <w:sz w:val="20"/>
              </w:rPr>
              <w:t>Viglione</w:t>
            </w:r>
            <w:proofErr w:type="spellEnd"/>
            <w:r w:rsidRPr="00C1087C">
              <w:rPr>
                <w:sz w:val="20"/>
              </w:rPr>
              <w:t xml:space="preserve">, come anche, con l’uso delle più moderne tecniche di telerilevamento, della parte interna al suddetto </w:t>
            </w:r>
            <w:proofErr w:type="spellStart"/>
            <w:r w:rsidRPr="00C1087C">
              <w:rPr>
                <w:sz w:val="20"/>
              </w:rPr>
              <w:t>graben</w:t>
            </w:r>
            <w:proofErr w:type="spellEnd"/>
            <w:r w:rsidRPr="00C1087C">
              <w:rPr>
                <w:sz w:val="20"/>
              </w:rPr>
              <w:t>, do</w:t>
            </w:r>
            <w:r w:rsidR="00DC256A">
              <w:rPr>
                <w:sz w:val="20"/>
              </w:rPr>
              <w:t>ve insiste l’area del sito BA-5.</w:t>
            </w:r>
          </w:p>
          <w:p w14:paraId="6561178A" w14:textId="4618B7DB" w:rsidR="00E67EDB" w:rsidRPr="000B7B2D" w:rsidRDefault="009277DE" w:rsidP="00BB7D64">
            <w:pPr>
              <w:pStyle w:val="CAMPI"/>
              <w:spacing w:before="0" w:after="0" w:line="240" w:lineRule="auto"/>
              <w:jc w:val="both"/>
              <w:rPr>
                <w:sz w:val="20"/>
              </w:rPr>
            </w:pPr>
            <w:r w:rsidRPr="00C1087C">
              <w:rPr>
                <w:sz w:val="20"/>
              </w:rPr>
              <w:t xml:space="preserve">Per natura stessa dei depositi delle coperture Pleistoceniche è assolutamente possibile che queste, nel loro assetto sub-orizzontale, mostrino diffusa variabilità laterale di facies. Variabilità di </w:t>
            </w:r>
            <w:proofErr w:type="spellStart"/>
            <w:r w:rsidR="00F95985" w:rsidRPr="00C1087C">
              <w:rPr>
                <w:sz w:val="20"/>
              </w:rPr>
              <w:t>lito</w:t>
            </w:r>
            <w:r w:rsidRPr="00C1087C">
              <w:rPr>
                <w:sz w:val="20"/>
              </w:rPr>
              <w:t>facies</w:t>
            </w:r>
            <w:proofErr w:type="spellEnd"/>
            <w:r w:rsidRPr="00C1087C">
              <w:rPr>
                <w:sz w:val="20"/>
              </w:rPr>
              <w:t xml:space="preserve"> sono peraltro riconosciute sia nelle sottostanti </w:t>
            </w:r>
            <w:r w:rsidR="00BB7D64">
              <w:rPr>
                <w:sz w:val="20"/>
              </w:rPr>
              <w:t>argille subappennine</w:t>
            </w:r>
            <w:r w:rsidR="00BB7D64" w:rsidRPr="00C1087C">
              <w:rPr>
                <w:sz w:val="20"/>
              </w:rPr>
              <w:t xml:space="preserve"> </w:t>
            </w:r>
            <w:r w:rsidR="00F95985" w:rsidRPr="00C1087C">
              <w:rPr>
                <w:sz w:val="20"/>
              </w:rPr>
              <w:t>(ritenute in genere omogenee)</w:t>
            </w:r>
            <w:r w:rsidRPr="00C1087C">
              <w:rPr>
                <w:sz w:val="20"/>
              </w:rPr>
              <w:t xml:space="preserve">, sia nella </w:t>
            </w:r>
            <w:proofErr w:type="spellStart"/>
            <w:r w:rsidRPr="00C1087C">
              <w:rPr>
                <w:sz w:val="20"/>
              </w:rPr>
              <w:t>Calcarenite</w:t>
            </w:r>
            <w:proofErr w:type="spellEnd"/>
            <w:r w:rsidRPr="00C1087C">
              <w:rPr>
                <w:sz w:val="20"/>
              </w:rPr>
              <w:t xml:space="preserve"> di Gravina che nei Calcari delle Murge del basamento locale. </w:t>
            </w:r>
          </w:p>
        </w:tc>
      </w:tr>
      <w:tr w:rsidR="00E639BF" w14:paraId="73D7D011" w14:textId="77777777" w:rsidTr="00356BE7">
        <w:trPr>
          <w:trHeight w:val="567"/>
        </w:trPr>
        <w:tc>
          <w:tcPr>
            <w:tcW w:w="2943" w:type="dxa"/>
            <w:vAlign w:val="center"/>
          </w:tcPr>
          <w:p w14:paraId="3CBBFE32" w14:textId="6C232BC0" w:rsidR="00E639BF" w:rsidRDefault="00E639BF" w:rsidP="00356BE7">
            <w:pPr>
              <w:pStyle w:val="LABELSEMPLICI"/>
            </w:pPr>
            <w:r w:rsidRPr="00E639BF">
              <w:t>CA4. presenza di bacini imbriferi di tipo endoreico</w:t>
            </w:r>
          </w:p>
        </w:tc>
        <w:tc>
          <w:tcPr>
            <w:tcW w:w="6266" w:type="dxa"/>
            <w:shd w:val="clear" w:color="auto" w:fill="FFFFFF"/>
            <w:vAlign w:val="center"/>
          </w:tcPr>
          <w:p w14:paraId="1313A619" w14:textId="3D5220EE" w:rsidR="00E639BF" w:rsidRPr="000B7B2D" w:rsidRDefault="00566B83">
            <w:pPr>
              <w:pStyle w:val="CAMPI"/>
              <w:spacing w:line="240" w:lineRule="auto"/>
              <w:jc w:val="both"/>
              <w:rPr>
                <w:sz w:val="20"/>
              </w:rPr>
            </w:pPr>
            <w:r w:rsidRPr="000B7B2D">
              <w:rPr>
                <w:sz w:val="20"/>
              </w:rPr>
              <w:t xml:space="preserve">Sono spesso presenti fenomeni di </w:t>
            </w:r>
            <w:r w:rsidR="00BB7D64">
              <w:rPr>
                <w:sz w:val="20"/>
              </w:rPr>
              <w:t>ristagno</w:t>
            </w:r>
            <w:r w:rsidR="00BB7D64" w:rsidRPr="000B7B2D">
              <w:rPr>
                <w:sz w:val="20"/>
              </w:rPr>
              <w:t xml:space="preserve"> </w:t>
            </w:r>
            <w:r w:rsidRPr="000B7B2D">
              <w:rPr>
                <w:sz w:val="20"/>
              </w:rPr>
              <w:t>delle acque piovane in concomitanza con la presenza di aree topograficamente pi</w:t>
            </w:r>
            <w:r w:rsidR="009277DE" w:rsidRPr="000B7B2D">
              <w:rPr>
                <w:sz w:val="20"/>
              </w:rPr>
              <w:t xml:space="preserve">ù depresse; queste ultime sono </w:t>
            </w:r>
            <w:r w:rsidRPr="000B7B2D">
              <w:rPr>
                <w:sz w:val="20"/>
              </w:rPr>
              <w:t xml:space="preserve">chiaramente visibili con una topografia di dettaglio. </w:t>
            </w:r>
            <w:r w:rsidR="009277DE" w:rsidRPr="000B7B2D">
              <w:rPr>
                <w:sz w:val="20"/>
              </w:rPr>
              <w:t>Spesso esse corrispondono all’affioramento di depositi con facies differenti o, ancora, a zone di incipiente erosione superficiale an</w:t>
            </w:r>
            <w:r w:rsidR="000B7B2D">
              <w:rPr>
                <w:sz w:val="20"/>
              </w:rPr>
              <w:t>che connessa all’uso del suolo.</w:t>
            </w:r>
          </w:p>
        </w:tc>
      </w:tr>
      <w:tr w:rsidR="00E639BF" w14:paraId="6C34B2CB" w14:textId="77777777" w:rsidTr="00356BE7">
        <w:trPr>
          <w:trHeight w:val="567"/>
        </w:trPr>
        <w:tc>
          <w:tcPr>
            <w:tcW w:w="2943" w:type="dxa"/>
            <w:vAlign w:val="center"/>
          </w:tcPr>
          <w:p w14:paraId="155FF7BA" w14:textId="77777777" w:rsidR="00E639BF" w:rsidRDefault="00E639BF" w:rsidP="00356BE7">
            <w:pPr>
              <w:pStyle w:val="LABELSEMPLICI"/>
            </w:pPr>
            <w:r w:rsidRPr="00E67EDB">
              <w:t>CA5. presenza di fenomeni di erosione accelerata</w:t>
            </w:r>
          </w:p>
        </w:tc>
        <w:tc>
          <w:tcPr>
            <w:tcW w:w="6266" w:type="dxa"/>
            <w:shd w:val="clear" w:color="auto" w:fill="FFFFFF"/>
            <w:vAlign w:val="center"/>
          </w:tcPr>
          <w:p w14:paraId="1DAF614E" w14:textId="24A4DA6D" w:rsidR="00E639BF" w:rsidRPr="000B7B2D" w:rsidRDefault="00834A98" w:rsidP="00707908">
            <w:pPr>
              <w:pStyle w:val="CAMPI"/>
              <w:spacing w:line="240" w:lineRule="auto"/>
              <w:jc w:val="both"/>
              <w:rPr>
                <w:sz w:val="20"/>
              </w:rPr>
            </w:pPr>
            <w:r w:rsidRPr="000B7B2D">
              <w:rPr>
                <w:rFonts w:cs="Calibri"/>
                <w:color w:val="000000"/>
                <w:sz w:val="20"/>
              </w:rPr>
              <w:t xml:space="preserve">Dalla consultazione della Carta </w:t>
            </w:r>
            <w:proofErr w:type="spellStart"/>
            <w:r w:rsidRPr="000B7B2D">
              <w:rPr>
                <w:rFonts w:cs="Calibri"/>
                <w:color w:val="000000"/>
                <w:sz w:val="20"/>
              </w:rPr>
              <w:t>Idrogeomorfologica</w:t>
            </w:r>
            <w:proofErr w:type="spellEnd"/>
            <w:r w:rsidRPr="000B7B2D">
              <w:rPr>
                <w:rFonts w:cs="Calibri"/>
                <w:color w:val="000000"/>
                <w:sz w:val="20"/>
              </w:rPr>
              <w:t xml:space="preserve"> allegata al PAI e delle tavole allegate al PPTR, in particolare relativamente alle Componenti Geomorfologiche e Componenti Idrologiche, è possibile osservare che l’area immediatamente a Ovest al sito BA-5, è caratterizzata dalla presenza di versanti con pendenze &gt; 20%, attraversati da una fitta rete di reticoli idrografici interessati in parte da processi di dissesto diffuso e dalla presenza di </w:t>
            </w:r>
            <w:proofErr w:type="spellStart"/>
            <w:r w:rsidRPr="000B7B2D">
              <w:rPr>
                <w:rFonts w:cs="Calibri"/>
                <w:color w:val="000000"/>
                <w:sz w:val="20"/>
              </w:rPr>
              <w:t>geositi</w:t>
            </w:r>
            <w:proofErr w:type="spellEnd"/>
            <w:r w:rsidRPr="000B7B2D">
              <w:rPr>
                <w:rFonts w:cs="Calibri"/>
                <w:color w:val="000000"/>
                <w:sz w:val="20"/>
              </w:rPr>
              <w:t xml:space="preserve"> censiti come </w:t>
            </w:r>
            <w:r w:rsidRPr="00CC7E9C">
              <w:rPr>
                <w:rFonts w:cs="Calibri"/>
                <w:color w:val="000000"/>
                <w:sz w:val="20"/>
              </w:rPr>
              <w:t xml:space="preserve">calanchi (Fig. </w:t>
            </w:r>
            <w:r w:rsidR="00CC7E9C" w:rsidRPr="00CC7E9C">
              <w:rPr>
                <w:rFonts w:cs="Calibri"/>
                <w:sz w:val="20"/>
              </w:rPr>
              <w:t>6</w:t>
            </w:r>
            <w:r w:rsidRPr="00CC7E9C">
              <w:rPr>
                <w:rFonts w:cs="Calibri"/>
                <w:color w:val="000000"/>
                <w:sz w:val="20"/>
              </w:rPr>
              <w:t xml:space="preserve">). </w:t>
            </w:r>
            <w:r w:rsidRPr="00CC7E9C">
              <w:rPr>
                <w:sz w:val="20"/>
              </w:rPr>
              <w:t>Grandi incisioni erodono in modo regressivo riducendo l’a</w:t>
            </w:r>
            <w:r w:rsidR="00707908">
              <w:rPr>
                <w:sz w:val="20"/>
              </w:rPr>
              <w:t xml:space="preserve">reale della </w:t>
            </w:r>
            <w:proofErr w:type="spellStart"/>
            <w:r w:rsidR="00707908">
              <w:rPr>
                <w:sz w:val="20"/>
              </w:rPr>
              <w:t>paleo</w:t>
            </w:r>
            <w:r w:rsidRPr="000B7B2D">
              <w:rPr>
                <w:sz w:val="20"/>
              </w:rPr>
              <w:t>superfice</w:t>
            </w:r>
            <w:proofErr w:type="spellEnd"/>
            <w:r w:rsidRPr="000B7B2D">
              <w:rPr>
                <w:sz w:val="20"/>
              </w:rPr>
              <w:t xml:space="preserve"> </w:t>
            </w:r>
            <w:r w:rsidR="00707908">
              <w:rPr>
                <w:sz w:val="20"/>
              </w:rPr>
              <w:t>che pertanto non può essere considerata p</w:t>
            </w:r>
            <w:r w:rsidRPr="000B7B2D">
              <w:rPr>
                <w:sz w:val="20"/>
              </w:rPr>
              <w:t xml:space="preserve">ianeggiante. Sempre in zona </w:t>
            </w:r>
            <w:proofErr w:type="spellStart"/>
            <w:r w:rsidRPr="000B7B2D">
              <w:rPr>
                <w:sz w:val="20"/>
              </w:rPr>
              <w:t>bordiera</w:t>
            </w:r>
            <w:proofErr w:type="spellEnd"/>
            <w:r w:rsidRPr="000B7B2D">
              <w:rPr>
                <w:sz w:val="20"/>
              </w:rPr>
              <w:t xml:space="preserve"> sono agevolati i movimenti di massa a causa dell’energia del rilievo, delle pendenze e della natura dei terreni</w:t>
            </w:r>
            <w:r w:rsidR="00707908">
              <w:rPr>
                <w:sz w:val="20"/>
              </w:rPr>
              <w:t xml:space="preserve">. </w:t>
            </w:r>
            <w:r w:rsidRPr="000B7B2D">
              <w:rPr>
                <w:rFonts w:cs="Calibri"/>
                <w:color w:val="000000"/>
                <w:sz w:val="20"/>
              </w:rPr>
              <w:t>Il sito inoltre risulta essere pressoché circondato da aree sottoposte a vincolo idrogeologico.</w:t>
            </w:r>
          </w:p>
        </w:tc>
      </w:tr>
      <w:tr w:rsidR="00E67EDB" w14:paraId="0524D970" w14:textId="77777777" w:rsidTr="00F95985">
        <w:trPr>
          <w:trHeight w:val="4132"/>
        </w:trPr>
        <w:tc>
          <w:tcPr>
            <w:tcW w:w="2943" w:type="dxa"/>
            <w:vAlign w:val="center"/>
          </w:tcPr>
          <w:p w14:paraId="648E4EDD" w14:textId="5D27C295" w:rsidR="00E67EDB" w:rsidRDefault="00E67EDB" w:rsidP="00356BE7">
            <w:pPr>
              <w:pStyle w:val="LABELSEMPLICI"/>
            </w:pPr>
            <w:r w:rsidRPr="00E67EDB">
              <w:lastRenderedPageBreak/>
              <w:t>CA6. condizioni meteo-climatiche</w:t>
            </w:r>
          </w:p>
        </w:tc>
        <w:tc>
          <w:tcPr>
            <w:tcW w:w="6266" w:type="dxa"/>
            <w:shd w:val="clear" w:color="auto" w:fill="FFFFFF"/>
            <w:vAlign w:val="center"/>
          </w:tcPr>
          <w:p w14:paraId="42745D1C" w14:textId="4FE55DD3" w:rsidR="00E67EDB" w:rsidRPr="00F95985" w:rsidRDefault="00834A98" w:rsidP="00F95985">
            <w:pPr>
              <w:spacing w:before="120"/>
              <w:jc w:val="both"/>
              <w:rPr>
                <w:rFonts w:ascii="Arial" w:hAnsi="Arial" w:cs="Arial"/>
                <w:sz w:val="20"/>
                <w:szCs w:val="20"/>
              </w:rPr>
            </w:pPr>
            <w:r w:rsidRPr="00F95985">
              <w:rPr>
                <w:rFonts w:ascii="Arial" w:hAnsi="Arial" w:cs="Arial"/>
                <w:sz w:val="20"/>
                <w:szCs w:val="20"/>
              </w:rPr>
              <w:t>L’aumento registrato nell’</w:t>
            </w:r>
            <w:r w:rsidR="00566B83" w:rsidRPr="00F95985">
              <w:rPr>
                <w:rFonts w:ascii="Arial" w:hAnsi="Arial" w:cs="Arial"/>
                <w:sz w:val="20"/>
                <w:szCs w:val="20"/>
              </w:rPr>
              <w:t xml:space="preserve">area </w:t>
            </w:r>
            <w:r w:rsidRPr="00F95985">
              <w:rPr>
                <w:rFonts w:ascii="Arial" w:hAnsi="Arial" w:cs="Arial"/>
                <w:sz w:val="20"/>
                <w:szCs w:val="20"/>
              </w:rPr>
              <w:t xml:space="preserve">tanto </w:t>
            </w:r>
            <w:r w:rsidR="00566B83" w:rsidRPr="00F95985">
              <w:rPr>
                <w:rFonts w:ascii="Arial" w:hAnsi="Arial" w:cs="Arial"/>
                <w:sz w:val="20"/>
                <w:szCs w:val="20"/>
              </w:rPr>
              <w:t>d</w:t>
            </w:r>
            <w:r w:rsidRPr="00F95985">
              <w:rPr>
                <w:rFonts w:ascii="Arial" w:hAnsi="Arial" w:cs="Arial"/>
                <w:sz w:val="20"/>
                <w:szCs w:val="20"/>
              </w:rPr>
              <w:t>egl</w:t>
            </w:r>
            <w:r w:rsidR="00566B83" w:rsidRPr="00F95985">
              <w:rPr>
                <w:rFonts w:ascii="Arial" w:hAnsi="Arial" w:cs="Arial"/>
                <w:sz w:val="20"/>
                <w:szCs w:val="20"/>
              </w:rPr>
              <w:t xml:space="preserve">i eventi estremi </w:t>
            </w:r>
            <w:r w:rsidRPr="00F95985">
              <w:rPr>
                <w:rFonts w:ascii="Arial" w:hAnsi="Arial" w:cs="Arial"/>
                <w:sz w:val="20"/>
                <w:szCs w:val="20"/>
              </w:rPr>
              <w:t>quanto degl</w:t>
            </w:r>
            <w:r w:rsidR="00566B83" w:rsidRPr="00F95985">
              <w:rPr>
                <w:rFonts w:ascii="Arial" w:hAnsi="Arial" w:cs="Arial"/>
                <w:sz w:val="20"/>
                <w:szCs w:val="20"/>
              </w:rPr>
              <w:t>i eventi distribuiti su più giorni così come evidenziato dalle più recenti pubblicazioni richied</w:t>
            </w:r>
            <w:r w:rsidRPr="00F95985">
              <w:rPr>
                <w:rFonts w:ascii="Arial" w:hAnsi="Arial" w:cs="Arial"/>
                <w:sz w:val="20"/>
                <w:szCs w:val="20"/>
              </w:rPr>
              <w:t>e</w:t>
            </w:r>
            <w:r w:rsidR="00566B83" w:rsidRPr="00F95985">
              <w:rPr>
                <w:rFonts w:ascii="Arial" w:hAnsi="Arial" w:cs="Arial"/>
                <w:sz w:val="20"/>
                <w:szCs w:val="20"/>
              </w:rPr>
              <w:t xml:space="preserve"> una più dettagliata analisi</w:t>
            </w:r>
            <w:r w:rsidRPr="00F95985">
              <w:rPr>
                <w:rFonts w:ascii="Arial" w:hAnsi="Arial" w:cs="Arial"/>
                <w:sz w:val="20"/>
                <w:szCs w:val="20"/>
              </w:rPr>
              <w:t xml:space="preserve">. In fatti, come evidenziato e ben motivato dall’allegata relazione dell’ARPA, in riferimento ai “regimi pluviometrico, </w:t>
            </w:r>
            <w:proofErr w:type="spellStart"/>
            <w:r w:rsidRPr="00F95985">
              <w:rPr>
                <w:rFonts w:ascii="Arial" w:hAnsi="Arial" w:cs="Arial"/>
                <w:sz w:val="20"/>
                <w:szCs w:val="20"/>
              </w:rPr>
              <w:t>nivometrico</w:t>
            </w:r>
            <w:proofErr w:type="spellEnd"/>
            <w:r w:rsidRPr="00F95985">
              <w:rPr>
                <w:rFonts w:ascii="Arial" w:hAnsi="Arial" w:cs="Arial"/>
                <w:sz w:val="20"/>
                <w:szCs w:val="20"/>
              </w:rPr>
              <w:t xml:space="preserve"> e anemometrico” si ritiene che l’analisi proposta sia incompleta e richieda chiarimenti circa la precipitazione cumulata e la trattazione del dato proveniente da due centraline negli anni di accavallamento. In riferimento al punto “eventi estremi”, si propone di implementare l’informazione temporale per valutarne il possibile incremento futuro in veste di quelle che sono le previsioni delle proiezioni climatiche. Inoltre, al fine di poter meglio eseguire l’analisi finalizzata alla valutazione del criterio di approfondimento 6 sarebbe utile, oltre che fondamentale, conoscere il criterio di utilizzo del dato e in particolare come il dato meteo-climatico debba essere impiegato nella fase di localizzazione del sito (</w:t>
            </w:r>
            <w:proofErr w:type="spellStart"/>
            <w:r w:rsidRPr="00F95985">
              <w:rPr>
                <w:rFonts w:ascii="Arial" w:hAnsi="Arial" w:cs="Arial"/>
                <w:sz w:val="20"/>
                <w:szCs w:val="20"/>
              </w:rPr>
              <w:t>rif.</w:t>
            </w:r>
            <w:proofErr w:type="spellEnd"/>
            <w:r w:rsidRPr="00F95985">
              <w:rPr>
                <w:rFonts w:ascii="Arial" w:hAnsi="Arial" w:cs="Arial"/>
                <w:sz w:val="20"/>
                <w:szCs w:val="20"/>
              </w:rPr>
              <w:t xml:space="preserve"> II.2 Criteri di approfondimento, Guida Tecnica n. 29, ISPRA, 2014).</w:t>
            </w:r>
          </w:p>
        </w:tc>
      </w:tr>
      <w:tr w:rsidR="00E67EDB" w14:paraId="741BF88A" w14:textId="77777777" w:rsidTr="00356BE7">
        <w:trPr>
          <w:trHeight w:val="567"/>
        </w:trPr>
        <w:tc>
          <w:tcPr>
            <w:tcW w:w="2943" w:type="dxa"/>
            <w:vAlign w:val="center"/>
          </w:tcPr>
          <w:p w14:paraId="160C0DFF" w14:textId="53BDC387" w:rsidR="00E67EDB" w:rsidRDefault="00E67EDB" w:rsidP="00356BE7">
            <w:pPr>
              <w:pStyle w:val="LABELSEMPLICI"/>
            </w:pPr>
            <w:r w:rsidRPr="00E639BF">
              <w:t>CA7. parametri fisico-meccanici dei terreni</w:t>
            </w:r>
          </w:p>
        </w:tc>
        <w:tc>
          <w:tcPr>
            <w:tcW w:w="6266" w:type="dxa"/>
            <w:shd w:val="clear" w:color="auto" w:fill="FFFFFF"/>
            <w:vAlign w:val="center"/>
          </w:tcPr>
          <w:p w14:paraId="6781A821" w14:textId="6F8B3F2C" w:rsidR="00E67EDB" w:rsidRPr="00E155D5" w:rsidRDefault="00834A98" w:rsidP="000B7B2D">
            <w:pPr>
              <w:pStyle w:val="CAMPI"/>
              <w:spacing w:before="0" w:after="0" w:line="240" w:lineRule="auto"/>
              <w:jc w:val="both"/>
              <w:rPr>
                <w:rFonts w:cs="Arial"/>
                <w:sz w:val="20"/>
              </w:rPr>
            </w:pPr>
            <w:r w:rsidRPr="00E155D5">
              <w:rPr>
                <w:rFonts w:cs="Arial"/>
                <w:sz w:val="20"/>
              </w:rPr>
              <w:t xml:space="preserve">Le caratteristiche delle unità affioranti, tanto quelle delle coperture Pleistoceniche, quanto quelle del “basamento locale” evidenziano diverso comportamento </w:t>
            </w:r>
            <w:proofErr w:type="spellStart"/>
            <w:r w:rsidRPr="00E155D5">
              <w:rPr>
                <w:rFonts w:cs="Arial"/>
                <w:sz w:val="20"/>
              </w:rPr>
              <w:t>fisio</w:t>
            </w:r>
            <w:proofErr w:type="spellEnd"/>
            <w:r w:rsidRPr="00E155D5">
              <w:rPr>
                <w:rFonts w:cs="Arial"/>
                <w:sz w:val="20"/>
              </w:rPr>
              <w:t xml:space="preserve">-meccanico. </w:t>
            </w:r>
            <w:r w:rsidR="00E155D5">
              <w:rPr>
                <w:rFonts w:cs="Arial"/>
                <w:sz w:val="20"/>
              </w:rPr>
              <w:t>La</w:t>
            </w:r>
            <w:r w:rsidR="00E155D5" w:rsidRPr="00E155D5">
              <w:rPr>
                <w:rFonts w:cs="Arial"/>
                <w:sz w:val="20"/>
              </w:rPr>
              <w:t xml:space="preserve"> conoscenza delle caratteristiche fisico-meccaniche deve,</w:t>
            </w:r>
            <w:r w:rsidRPr="00E155D5">
              <w:rPr>
                <w:rFonts w:cs="Arial"/>
                <w:sz w:val="20"/>
              </w:rPr>
              <w:t xml:space="preserve"> pertanto</w:t>
            </w:r>
            <w:r w:rsidR="00E155D5" w:rsidRPr="00E155D5">
              <w:rPr>
                <w:rFonts w:cs="Arial"/>
                <w:sz w:val="20"/>
              </w:rPr>
              <w:t xml:space="preserve">, </w:t>
            </w:r>
            <w:r w:rsidRPr="00E155D5">
              <w:rPr>
                <w:rFonts w:cs="Arial"/>
                <w:sz w:val="20"/>
              </w:rPr>
              <w:t xml:space="preserve">essere </w:t>
            </w:r>
            <w:r w:rsidR="00E155D5" w:rsidRPr="00E155D5">
              <w:rPr>
                <w:rFonts w:cs="Arial"/>
                <w:sz w:val="20"/>
              </w:rPr>
              <w:t>approfondita</w:t>
            </w:r>
            <w:r w:rsidRPr="00E155D5">
              <w:rPr>
                <w:rFonts w:cs="Arial"/>
                <w:sz w:val="20"/>
              </w:rPr>
              <w:t xml:space="preserve"> </w:t>
            </w:r>
            <w:r w:rsidRPr="00E155D5">
              <w:rPr>
                <w:rFonts w:eastAsia="Calibri" w:cs="Arial"/>
                <w:sz w:val="20"/>
                <w:lang w:eastAsia="en-US"/>
              </w:rPr>
              <w:t xml:space="preserve">sulla scorta di dati bibliografici aggiornati e </w:t>
            </w:r>
            <w:r w:rsidR="00E155D5" w:rsidRPr="00E155D5">
              <w:rPr>
                <w:rFonts w:eastAsia="Calibri" w:cs="Arial"/>
                <w:sz w:val="20"/>
                <w:lang w:eastAsia="en-US"/>
              </w:rPr>
              <w:t xml:space="preserve">analisi geotecniche </w:t>
            </w:r>
            <w:r w:rsidRPr="00E155D5">
              <w:rPr>
                <w:rFonts w:eastAsia="Calibri" w:cs="Arial"/>
                <w:sz w:val="20"/>
                <w:lang w:eastAsia="en-US"/>
              </w:rPr>
              <w:t>sito</w:t>
            </w:r>
            <w:r w:rsidR="00E155D5" w:rsidRPr="00E155D5">
              <w:rPr>
                <w:rFonts w:eastAsia="Calibri" w:cs="Arial"/>
                <w:sz w:val="20"/>
                <w:lang w:eastAsia="en-US"/>
              </w:rPr>
              <w:t>-s</w:t>
            </w:r>
            <w:r w:rsidRPr="00E155D5">
              <w:rPr>
                <w:rFonts w:eastAsia="Calibri" w:cs="Arial"/>
                <w:sz w:val="20"/>
                <w:lang w:eastAsia="en-US"/>
              </w:rPr>
              <w:t>pecifi</w:t>
            </w:r>
            <w:r w:rsidR="00E155D5" w:rsidRPr="00E155D5">
              <w:rPr>
                <w:rFonts w:eastAsia="Calibri" w:cs="Arial"/>
                <w:sz w:val="20"/>
                <w:lang w:eastAsia="en-US"/>
              </w:rPr>
              <w:t>che</w:t>
            </w:r>
            <w:r w:rsidRPr="00E155D5">
              <w:rPr>
                <w:rFonts w:eastAsia="Calibri" w:cs="Arial"/>
                <w:sz w:val="20"/>
                <w:lang w:eastAsia="en-US"/>
              </w:rPr>
              <w:t xml:space="preserve"> per definirne le risposte </w:t>
            </w:r>
            <w:r w:rsidR="00E155D5" w:rsidRPr="00E155D5">
              <w:rPr>
                <w:rFonts w:eastAsia="Calibri" w:cs="Arial"/>
                <w:sz w:val="20"/>
                <w:lang w:eastAsia="en-US"/>
              </w:rPr>
              <w:t>che influenzano la capacità portante, la suscettibilità a fenomeni di liquefazione e la permeabilità.</w:t>
            </w:r>
          </w:p>
        </w:tc>
      </w:tr>
      <w:tr w:rsidR="00E67EDB" w14:paraId="3003822C" w14:textId="77777777" w:rsidTr="00356BE7">
        <w:trPr>
          <w:trHeight w:val="567"/>
        </w:trPr>
        <w:tc>
          <w:tcPr>
            <w:tcW w:w="2943" w:type="dxa"/>
            <w:vAlign w:val="center"/>
          </w:tcPr>
          <w:p w14:paraId="701ABE51" w14:textId="7C9FECD2" w:rsidR="00E67EDB" w:rsidRDefault="00E639BF" w:rsidP="00356BE7">
            <w:pPr>
              <w:pStyle w:val="LABELSEMPLICI"/>
            </w:pPr>
            <w:r w:rsidRPr="00E639BF">
              <w:t>CA8. parametri idrogeologici</w:t>
            </w:r>
          </w:p>
        </w:tc>
        <w:tc>
          <w:tcPr>
            <w:tcW w:w="6266" w:type="dxa"/>
            <w:shd w:val="clear" w:color="auto" w:fill="FFFFFF"/>
            <w:vAlign w:val="center"/>
          </w:tcPr>
          <w:p w14:paraId="14D920C0" w14:textId="4C108209" w:rsidR="00E155D5" w:rsidRPr="000B7B2D" w:rsidRDefault="00E155D5" w:rsidP="000B7B2D">
            <w:pPr>
              <w:pStyle w:val="CAMPI"/>
              <w:spacing w:before="0" w:after="0" w:line="240" w:lineRule="auto"/>
              <w:jc w:val="both"/>
              <w:rPr>
                <w:sz w:val="20"/>
              </w:rPr>
            </w:pPr>
            <w:r w:rsidRPr="000B7B2D">
              <w:rPr>
                <w:sz w:val="20"/>
              </w:rPr>
              <w:t>Per rispondere a questa sollecitazione, è necessario fornire dati e informazioni su:</w:t>
            </w:r>
          </w:p>
          <w:p w14:paraId="68CA15C7" w14:textId="77777777" w:rsidR="00E155D5" w:rsidRPr="000B7B2D" w:rsidRDefault="00E155D5" w:rsidP="000B7B2D">
            <w:pPr>
              <w:pStyle w:val="CAMPI"/>
              <w:spacing w:before="0" w:after="0" w:line="240" w:lineRule="auto"/>
              <w:jc w:val="both"/>
              <w:rPr>
                <w:sz w:val="20"/>
              </w:rPr>
            </w:pPr>
            <w:r w:rsidRPr="000B7B2D">
              <w:rPr>
                <w:sz w:val="20"/>
              </w:rPr>
              <w:t>a)</w:t>
            </w:r>
            <w:r w:rsidRPr="000B7B2D">
              <w:rPr>
                <w:sz w:val="20"/>
              </w:rPr>
              <w:tab/>
              <w:t>distanza dei livelli piezometrici dal piano di campagna e dalle strutture di fondazione del deposito e loro fluttuazioni periodiche, stagionali e non stagionali;</w:t>
            </w:r>
          </w:p>
          <w:p w14:paraId="2BB25DB1" w14:textId="77777777" w:rsidR="00E155D5" w:rsidRPr="000B7B2D" w:rsidRDefault="00E155D5" w:rsidP="000B7B2D">
            <w:pPr>
              <w:pStyle w:val="CAMPI"/>
              <w:spacing w:before="0" w:after="0" w:line="240" w:lineRule="auto"/>
              <w:jc w:val="both"/>
              <w:rPr>
                <w:sz w:val="20"/>
              </w:rPr>
            </w:pPr>
            <w:r w:rsidRPr="000B7B2D">
              <w:rPr>
                <w:sz w:val="20"/>
              </w:rPr>
              <w:t>b)</w:t>
            </w:r>
            <w:r w:rsidRPr="000B7B2D">
              <w:rPr>
                <w:sz w:val="20"/>
              </w:rPr>
              <w:tab/>
              <w:t>distanza da sorgenti e da altri punti di captazione idrica;</w:t>
            </w:r>
          </w:p>
          <w:p w14:paraId="74C12671" w14:textId="77777777" w:rsidR="00E155D5" w:rsidRPr="000B7B2D" w:rsidRDefault="00E155D5" w:rsidP="000B7B2D">
            <w:pPr>
              <w:pStyle w:val="CAMPI"/>
              <w:spacing w:before="0" w:after="0" w:line="240" w:lineRule="auto"/>
              <w:jc w:val="both"/>
              <w:rPr>
                <w:sz w:val="20"/>
              </w:rPr>
            </w:pPr>
            <w:r w:rsidRPr="000B7B2D">
              <w:rPr>
                <w:sz w:val="20"/>
              </w:rPr>
              <w:t>c)</w:t>
            </w:r>
            <w:r w:rsidRPr="000B7B2D">
              <w:rPr>
                <w:sz w:val="20"/>
              </w:rPr>
              <w:tab/>
              <w:t xml:space="preserve">caratteristiche di conducibilità idraulica degli acquiferi, comprendenti la quota dei tetti e dei letti degli acquiferi e degli </w:t>
            </w:r>
            <w:proofErr w:type="spellStart"/>
            <w:r w:rsidRPr="000B7B2D">
              <w:rPr>
                <w:sz w:val="20"/>
              </w:rPr>
              <w:t>acquicludi</w:t>
            </w:r>
            <w:proofErr w:type="spellEnd"/>
            <w:r w:rsidRPr="000B7B2D">
              <w:rPr>
                <w:sz w:val="20"/>
              </w:rPr>
              <w:t>, la loro estensione laterale e i loro coefficienti di permeabilità e di immagazzinamento;</w:t>
            </w:r>
          </w:p>
          <w:p w14:paraId="30ECA068" w14:textId="77777777" w:rsidR="00E155D5" w:rsidRPr="000B7B2D" w:rsidRDefault="00E155D5" w:rsidP="000B7B2D">
            <w:pPr>
              <w:pStyle w:val="CAMPI"/>
              <w:spacing w:before="0" w:after="0" w:line="240" w:lineRule="auto"/>
              <w:jc w:val="both"/>
              <w:rPr>
                <w:sz w:val="20"/>
              </w:rPr>
            </w:pPr>
            <w:r w:rsidRPr="000B7B2D">
              <w:rPr>
                <w:sz w:val="20"/>
              </w:rPr>
              <w:t>d)</w:t>
            </w:r>
            <w:r w:rsidRPr="000B7B2D">
              <w:rPr>
                <w:sz w:val="20"/>
              </w:rPr>
              <w:tab/>
              <w:t>gradiente idraulico medio dell’area e velocità del flusso sotterraneo;</w:t>
            </w:r>
          </w:p>
          <w:p w14:paraId="00D28A3B" w14:textId="77777777" w:rsidR="00E155D5" w:rsidRPr="000B7B2D" w:rsidRDefault="00E155D5" w:rsidP="000B7B2D">
            <w:pPr>
              <w:pStyle w:val="CAMPI"/>
              <w:spacing w:before="0" w:after="0" w:line="240" w:lineRule="auto"/>
              <w:jc w:val="both"/>
              <w:rPr>
                <w:sz w:val="20"/>
              </w:rPr>
            </w:pPr>
            <w:r w:rsidRPr="000B7B2D">
              <w:rPr>
                <w:sz w:val="20"/>
              </w:rPr>
              <w:t>e)</w:t>
            </w:r>
            <w:r w:rsidRPr="000B7B2D">
              <w:rPr>
                <w:sz w:val="20"/>
              </w:rPr>
              <w:tab/>
              <w:t>valore dell’infiltrazione efficace;</w:t>
            </w:r>
          </w:p>
          <w:p w14:paraId="280DA1BF" w14:textId="77777777" w:rsidR="00E155D5" w:rsidRPr="000B7B2D" w:rsidRDefault="00E155D5" w:rsidP="000B7B2D">
            <w:pPr>
              <w:pStyle w:val="CAMPI"/>
              <w:spacing w:before="0" w:after="0" w:line="240" w:lineRule="auto"/>
              <w:jc w:val="both"/>
              <w:rPr>
                <w:sz w:val="20"/>
              </w:rPr>
            </w:pPr>
            <w:r w:rsidRPr="000B7B2D">
              <w:rPr>
                <w:sz w:val="20"/>
              </w:rPr>
              <w:t>f)</w:t>
            </w:r>
            <w:r w:rsidRPr="000B7B2D">
              <w:rPr>
                <w:sz w:val="20"/>
              </w:rPr>
              <w:tab/>
              <w:t>estensione delle superfici di ricarica degli acquiferi e loro distanza dall’area in valutazione;</w:t>
            </w:r>
          </w:p>
          <w:p w14:paraId="2E02EB97" w14:textId="77777777" w:rsidR="00E155D5" w:rsidRPr="000B7B2D" w:rsidRDefault="00E155D5" w:rsidP="000B7B2D">
            <w:pPr>
              <w:pStyle w:val="CAMPI"/>
              <w:spacing w:before="0" w:after="0" w:line="240" w:lineRule="auto"/>
              <w:jc w:val="both"/>
              <w:rPr>
                <w:sz w:val="20"/>
              </w:rPr>
            </w:pPr>
            <w:r w:rsidRPr="000B7B2D">
              <w:rPr>
                <w:sz w:val="20"/>
              </w:rPr>
              <w:t>g)</w:t>
            </w:r>
            <w:r w:rsidRPr="000B7B2D">
              <w:rPr>
                <w:sz w:val="20"/>
              </w:rPr>
              <w:tab/>
              <w:t>utilizzo delle acque per usi legati all’alimentazione umana diretta o indiretta.</w:t>
            </w:r>
          </w:p>
          <w:p w14:paraId="070B6390" w14:textId="58131F7A" w:rsidR="00E67EDB" w:rsidRPr="000B7B2D" w:rsidRDefault="00E155D5" w:rsidP="000B7B2D">
            <w:pPr>
              <w:pStyle w:val="CAMPI"/>
              <w:spacing w:before="0" w:after="0" w:line="240" w:lineRule="auto"/>
              <w:jc w:val="both"/>
              <w:rPr>
                <w:sz w:val="20"/>
              </w:rPr>
            </w:pPr>
            <w:r w:rsidRPr="000B7B2D">
              <w:rPr>
                <w:sz w:val="20"/>
              </w:rPr>
              <w:t xml:space="preserve">In assenza di tali dati, poiché le caratteristiche idrogeologiche, come richieste dalla Guida Tecnica n.29, sono dirimenti ai fini dell'individuazione delle aree potenzialmente idonee, è necessaria la preliminare definizione, anche sulla scorta di dati bibliografici aggiornati e </w:t>
            </w:r>
            <w:proofErr w:type="spellStart"/>
            <w:r w:rsidRPr="000B7B2D">
              <w:rPr>
                <w:sz w:val="20"/>
              </w:rPr>
              <w:t>sitospecifici</w:t>
            </w:r>
            <w:proofErr w:type="spellEnd"/>
            <w:r w:rsidRPr="000B7B2D">
              <w:rPr>
                <w:sz w:val="20"/>
              </w:rPr>
              <w:t xml:space="preserve">, dei parametri indicati per stimare la compatibilità del sito con l’uso a definirsi. </w:t>
            </w:r>
          </w:p>
          <w:p w14:paraId="3F795C6F" w14:textId="77777777" w:rsidR="00707908" w:rsidRDefault="009E13AB" w:rsidP="00707908">
            <w:pPr>
              <w:pStyle w:val="CAMPI"/>
              <w:spacing w:line="240" w:lineRule="auto"/>
              <w:jc w:val="both"/>
              <w:rPr>
                <w:sz w:val="20"/>
              </w:rPr>
            </w:pPr>
            <w:r w:rsidRPr="000B7B2D">
              <w:rPr>
                <w:sz w:val="20"/>
              </w:rPr>
              <w:t xml:space="preserve">Una evidenza di </w:t>
            </w:r>
            <w:proofErr w:type="spellStart"/>
            <w:r w:rsidRPr="000B7B2D">
              <w:rPr>
                <w:sz w:val="20"/>
              </w:rPr>
              <w:t>riemergenza</w:t>
            </w:r>
            <w:proofErr w:type="spellEnd"/>
            <w:r w:rsidRPr="000B7B2D">
              <w:rPr>
                <w:sz w:val="20"/>
              </w:rPr>
              <w:t xml:space="preserve"> di acqua e gas (</w:t>
            </w:r>
            <w:proofErr w:type="spellStart"/>
            <w:r w:rsidRPr="000B7B2D">
              <w:rPr>
                <w:sz w:val="20"/>
              </w:rPr>
              <w:t>vulcanelli</w:t>
            </w:r>
            <w:proofErr w:type="spellEnd"/>
            <w:r w:rsidRPr="000B7B2D">
              <w:rPr>
                <w:sz w:val="20"/>
              </w:rPr>
              <w:t xml:space="preserve"> di fango) è sita in agro di Gravina in</w:t>
            </w:r>
            <w:r w:rsidR="00707908">
              <w:rPr>
                <w:sz w:val="20"/>
              </w:rPr>
              <w:t xml:space="preserve"> </w:t>
            </w:r>
            <w:r w:rsidRPr="000B7B2D">
              <w:rPr>
                <w:sz w:val="20"/>
              </w:rPr>
              <w:t xml:space="preserve">Puglia, pochi km a sud </w:t>
            </w:r>
            <w:proofErr w:type="gramStart"/>
            <w:r w:rsidRPr="000B7B2D">
              <w:rPr>
                <w:sz w:val="20"/>
              </w:rPr>
              <w:t>dell’API  BA</w:t>
            </w:r>
            <w:proofErr w:type="gramEnd"/>
            <w:r w:rsidRPr="000B7B2D">
              <w:rPr>
                <w:sz w:val="20"/>
              </w:rPr>
              <w:t>-5 (Canora et al. 2012).</w:t>
            </w:r>
          </w:p>
          <w:p w14:paraId="7E2614A6" w14:textId="77777777" w:rsidR="008105CB" w:rsidRDefault="00707908" w:rsidP="00707908">
            <w:pPr>
              <w:pStyle w:val="CAMPI"/>
              <w:spacing w:line="240" w:lineRule="auto"/>
              <w:jc w:val="both"/>
              <w:rPr>
                <w:sz w:val="20"/>
              </w:rPr>
            </w:pPr>
            <w:r>
              <w:rPr>
                <w:sz w:val="20"/>
              </w:rPr>
              <w:t>Questa </w:t>
            </w:r>
            <w:r w:rsidR="009E13AB" w:rsidRPr="000B7B2D">
              <w:rPr>
                <w:sz w:val="20"/>
              </w:rPr>
              <w:t>emergenza geologica è stata censita e catalogata all’interno del progetto “</w:t>
            </w:r>
            <w:proofErr w:type="spellStart"/>
            <w:r w:rsidR="009E13AB" w:rsidRPr="000B7B2D">
              <w:rPr>
                <w:sz w:val="20"/>
              </w:rPr>
              <w:t>Geositi</w:t>
            </w:r>
            <w:proofErr w:type="spellEnd"/>
            <w:r w:rsidR="009E13AB" w:rsidRPr="000B7B2D">
              <w:rPr>
                <w:sz w:val="20"/>
              </w:rPr>
              <w:t xml:space="preserve"> della Puglia”, per quanto allo stato attuale non </w:t>
            </w:r>
            <w:r w:rsidR="009E13AB" w:rsidRPr="000B7B2D">
              <w:rPr>
                <w:sz w:val="20"/>
              </w:rPr>
              <w:br/>
              <w:t>risulti censita tra gli Ulteriori Contesti Paesaggistici del PPTR.  Le </w:t>
            </w:r>
            <w:r w:rsidR="009E13AB" w:rsidRPr="000B7B2D">
              <w:rPr>
                <w:sz w:val="20"/>
              </w:rPr>
              <w:br/>
              <w:t xml:space="preserve">informazioni di dettaglio sul </w:t>
            </w:r>
            <w:proofErr w:type="spellStart"/>
            <w:r w:rsidR="009E13AB" w:rsidRPr="000B7B2D">
              <w:rPr>
                <w:sz w:val="20"/>
              </w:rPr>
              <w:t>geosito</w:t>
            </w:r>
            <w:proofErr w:type="spellEnd"/>
            <w:r w:rsidR="009E13AB" w:rsidRPr="000B7B2D">
              <w:rPr>
                <w:sz w:val="20"/>
              </w:rPr>
              <w:t xml:space="preserve"> in questione sono rinvenibili </w:t>
            </w:r>
            <w:r w:rsidR="009E13AB" w:rsidRPr="000B7B2D">
              <w:rPr>
                <w:sz w:val="20"/>
              </w:rPr>
              <w:br/>
              <w:t>liberamente al sito web dedicato: </w:t>
            </w:r>
            <w:hyperlink r:id="rId11" w:tgtFrame="_blank" w:history="1">
              <w:r w:rsidR="009E13AB" w:rsidRPr="000B7B2D">
                <w:rPr>
                  <w:rStyle w:val="Collegamentoipertestuale"/>
                  <w:sz w:val="20"/>
                </w:rPr>
                <w:t>http://www.geositipuglia.eu/</w:t>
              </w:r>
            </w:hyperlink>
            <w:r w:rsidR="009E13AB" w:rsidRPr="000B7B2D">
              <w:rPr>
                <w:sz w:val="20"/>
              </w:rPr>
              <w:t>  e </w:t>
            </w:r>
            <w:r w:rsidR="009E13AB" w:rsidRPr="000B7B2D">
              <w:rPr>
                <w:sz w:val="20"/>
              </w:rPr>
              <w:br/>
              <w:t>all’interno del portale regionale “Pugliacon.it”: </w:t>
            </w:r>
            <w:r w:rsidR="009E13AB" w:rsidRPr="000B7B2D">
              <w:rPr>
                <w:sz w:val="20"/>
              </w:rPr>
              <w:br/>
            </w:r>
            <w:hyperlink r:id="rId12" w:tgtFrame="_blank" w:history="1">
              <w:r w:rsidR="009E13AB" w:rsidRPr="000B7B2D">
                <w:rPr>
                  <w:rStyle w:val="Collegamentoipertestuale"/>
                  <w:sz w:val="20"/>
                </w:rPr>
                <w:t>http://www.sit.puglia.it/portal/portale_rete_ecologica/ricognizione%20geositi</w:t>
              </w:r>
            </w:hyperlink>
            <w:r w:rsidR="008105CB">
              <w:rPr>
                <w:rStyle w:val="Collegamentoipertestuale"/>
                <w:sz w:val="20"/>
              </w:rPr>
              <w:t xml:space="preserve"> </w:t>
            </w:r>
            <w:r w:rsidR="008105CB" w:rsidRPr="008105CB">
              <w:rPr>
                <w:rStyle w:val="Collegamentoipertestuale"/>
                <w:color w:val="auto"/>
                <w:sz w:val="20"/>
                <w:u w:val="none"/>
              </w:rPr>
              <w:t>(</w:t>
            </w:r>
            <w:proofErr w:type="spellStart"/>
            <w:r w:rsidR="008105CB" w:rsidRPr="008105CB">
              <w:rPr>
                <w:rStyle w:val="Collegamentoipertestuale"/>
                <w:color w:val="auto"/>
                <w:sz w:val="20"/>
                <w:u w:val="none"/>
              </w:rPr>
              <w:t>Mastronuzzi</w:t>
            </w:r>
            <w:proofErr w:type="spellEnd"/>
            <w:r w:rsidR="008105CB" w:rsidRPr="008105CB">
              <w:rPr>
                <w:rStyle w:val="Collegamentoipertestuale"/>
                <w:color w:val="auto"/>
                <w:sz w:val="20"/>
                <w:u w:val="none"/>
              </w:rPr>
              <w:t xml:space="preserve"> et al., 2015)</w:t>
            </w:r>
            <w:r w:rsidR="009E13AB" w:rsidRPr="008105CB">
              <w:rPr>
                <w:sz w:val="20"/>
              </w:rPr>
              <w:t>.</w:t>
            </w:r>
          </w:p>
          <w:p w14:paraId="4D0410C0" w14:textId="05E004D5" w:rsidR="009E13AB" w:rsidRPr="000B7B2D" w:rsidRDefault="009E13AB" w:rsidP="00707908">
            <w:pPr>
              <w:pStyle w:val="CAMPI"/>
              <w:spacing w:line="240" w:lineRule="auto"/>
              <w:jc w:val="both"/>
              <w:rPr>
                <w:sz w:val="20"/>
              </w:rPr>
            </w:pPr>
            <w:r w:rsidRPr="008105CB">
              <w:rPr>
                <w:sz w:val="20"/>
              </w:rPr>
              <w:lastRenderedPageBreak/>
              <w:t> </w:t>
            </w:r>
            <w:r w:rsidRPr="000B7B2D">
              <w:rPr>
                <w:sz w:val="20"/>
              </w:rPr>
              <w:br/>
              <w:t xml:space="preserve">Altri </w:t>
            </w:r>
            <w:proofErr w:type="spellStart"/>
            <w:r w:rsidRPr="000B7B2D">
              <w:rPr>
                <w:sz w:val="20"/>
              </w:rPr>
              <w:t>vulcanelli</w:t>
            </w:r>
            <w:proofErr w:type="spellEnd"/>
            <w:r w:rsidRPr="000B7B2D">
              <w:rPr>
                <w:sz w:val="20"/>
              </w:rPr>
              <w:t xml:space="preserve"> di fango sono individuati in aree più interne della </w:t>
            </w:r>
            <w:r w:rsidRPr="000B7B2D">
              <w:rPr>
                <w:sz w:val="20"/>
              </w:rPr>
              <w:br/>
              <w:t xml:space="preserve">Fossa </w:t>
            </w:r>
            <w:proofErr w:type="spellStart"/>
            <w:r w:rsidRPr="000B7B2D">
              <w:rPr>
                <w:sz w:val="20"/>
              </w:rPr>
              <w:t>Bradanica</w:t>
            </w:r>
            <w:proofErr w:type="spellEnd"/>
            <w:r w:rsidRPr="000B7B2D">
              <w:rPr>
                <w:sz w:val="20"/>
              </w:rPr>
              <w:t xml:space="preserve"> (Canora et al. 2012). Il fenomeno non è legato ad </w:t>
            </w:r>
            <w:r w:rsidRPr="000B7B2D">
              <w:rPr>
                <w:sz w:val="20"/>
              </w:rPr>
              <w:br/>
              <w:t>attività vulcanica, ma viene definito "vulcanesimo sedimentario" a </w:t>
            </w:r>
            <w:r w:rsidRPr="000B7B2D">
              <w:rPr>
                <w:sz w:val="20"/>
              </w:rPr>
              <w:br/>
              <w:t>causa delle analogie morfologiche tra gli edifici sedimentari e i </w:t>
            </w:r>
            <w:r w:rsidRPr="000B7B2D">
              <w:rPr>
                <w:sz w:val="20"/>
              </w:rPr>
              <w:br/>
              <w:t>vulcani veri e propri. La genesi dei vulcani di fango è in genere </w:t>
            </w:r>
            <w:r w:rsidRPr="000B7B2D">
              <w:rPr>
                <w:sz w:val="20"/>
              </w:rPr>
              <w:br/>
              <w:t>attribuita alla risalita di fluidi e gas sotto pressione attraverso </w:t>
            </w:r>
            <w:r w:rsidRPr="000B7B2D">
              <w:rPr>
                <w:sz w:val="20"/>
              </w:rPr>
              <w:br/>
              <w:t>discontinuità strutturali. Oggi si ritiene che il vulcanesimo </w:t>
            </w:r>
            <w:r w:rsidRPr="000B7B2D">
              <w:rPr>
                <w:sz w:val="20"/>
              </w:rPr>
              <w:br/>
              <w:t>sedimentario sia correlato a numerose c</w:t>
            </w:r>
            <w:r w:rsidR="000B7B2D">
              <w:rPr>
                <w:sz w:val="20"/>
              </w:rPr>
              <w:t>oncause, tra le quali spiccano </w:t>
            </w:r>
            <w:r w:rsidRPr="000B7B2D">
              <w:rPr>
                <w:sz w:val="20"/>
              </w:rPr>
              <w:t xml:space="preserve">elevate pressioni generate da carichi </w:t>
            </w:r>
            <w:proofErr w:type="spellStart"/>
            <w:r w:rsidRPr="000B7B2D">
              <w:rPr>
                <w:sz w:val="20"/>
              </w:rPr>
              <w:t>l</w:t>
            </w:r>
            <w:r w:rsidR="000B7B2D">
              <w:rPr>
                <w:sz w:val="20"/>
              </w:rPr>
              <w:t>itostatici</w:t>
            </w:r>
            <w:proofErr w:type="spellEnd"/>
            <w:r w:rsidR="000B7B2D">
              <w:rPr>
                <w:sz w:val="20"/>
              </w:rPr>
              <w:t xml:space="preserve"> e stress tettonici, </w:t>
            </w:r>
            <w:r w:rsidRPr="000B7B2D">
              <w:rPr>
                <w:sz w:val="20"/>
              </w:rPr>
              <w:t xml:space="preserve">presenza di strutture diapiriche, di </w:t>
            </w:r>
            <w:r w:rsidR="000B7B2D">
              <w:rPr>
                <w:sz w:val="20"/>
              </w:rPr>
              <w:t xml:space="preserve">spesse sequenze argillose e di rilevanti discontinuità </w:t>
            </w:r>
            <w:r w:rsidRPr="000B7B2D">
              <w:rPr>
                <w:sz w:val="20"/>
              </w:rPr>
              <w:t>(faglie) lungo le quali i fluidi possono </w:t>
            </w:r>
            <w:r w:rsidRPr="000B7B2D">
              <w:rPr>
                <w:sz w:val="20"/>
              </w:rPr>
              <w:br/>
              <w:t>risalire verso l'esterno. La roccia madre dalla quale deriva il fango </w:t>
            </w:r>
            <w:r w:rsidRPr="000B7B2D">
              <w:rPr>
                <w:sz w:val="20"/>
              </w:rPr>
              <w:br/>
              <w:t xml:space="preserve">espulso dal </w:t>
            </w:r>
            <w:proofErr w:type="spellStart"/>
            <w:r w:rsidRPr="000B7B2D">
              <w:rPr>
                <w:sz w:val="20"/>
              </w:rPr>
              <w:t>vulcanello</w:t>
            </w:r>
            <w:proofErr w:type="spellEnd"/>
            <w:r w:rsidRPr="000B7B2D">
              <w:rPr>
                <w:sz w:val="20"/>
              </w:rPr>
              <w:t xml:space="preserve"> di Gravina (e dagli altri due presenti nelle </w:t>
            </w:r>
            <w:r w:rsidRPr="000B7B2D">
              <w:rPr>
                <w:sz w:val="20"/>
              </w:rPr>
              <w:br/>
              <w:t>aree limitrofe, in Basilicata) è quella della Formazione delle Argille </w:t>
            </w:r>
            <w:r w:rsidRPr="000B7B2D">
              <w:rPr>
                <w:sz w:val="20"/>
              </w:rPr>
              <w:br/>
              <w:t>Subappennine; l'acqua espulsa assieme alle argille è salmastra, </w:t>
            </w:r>
            <w:r w:rsidRPr="000B7B2D">
              <w:rPr>
                <w:sz w:val="20"/>
              </w:rPr>
              <w:br/>
              <w:t xml:space="preserve">presenta un </w:t>
            </w:r>
            <w:proofErr w:type="spellStart"/>
            <w:r w:rsidRPr="000B7B2D">
              <w:rPr>
                <w:sz w:val="20"/>
              </w:rPr>
              <w:t>pH</w:t>
            </w:r>
            <w:proofErr w:type="spellEnd"/>
            <w:r w:rsidRPr="000B7B2D">
              <w:rPr>
                <w:sz w:val="20"/>
              </w:rPr>
              <w:t xml:space="preserve"> elevato ed è classificabile come cloro-sodica.</w:t>
            </w:r>
          </w:p>
        </w:tc>
      </w:tr>
      <w:tr w:rsidR="00E67EDB" w14:paraId="34CF13D6" w14:textId="77777777" w:rsidTr="00356BE7">
        <w:trPr>
          <w:trHeight w:val="567"/>
        </w:trPr>
        <w:tc>
          <w:tcPr>
            <w:tcW w:w="2943" w:type="dxa"/>
            <w:vAlign w:val="center"/>
          </w:tcPr>
          <w:p w14:paraId="11A5A575" w14:textId="6FF1EE80" w:rsidR="00E67EDB" w:rsidRDefault="00E639BF" w:rsidP="00356BE7">
            <w:pPr>
              <w:pStyle w:val="LABELSEMPLICI"/>
            </w:pPr>
            <w:r w:rsidRPr="00E639BF">
              <w:lastRenderedPageBreak/>
              <w:t>CA9. parametri chimici del terreno e delle acque di falda</w:t>
            </w:r>
          </w:p>
        </w:tc>
        <w:tc>
          <w:tcPr>
            <w:tcW w:w="6266" w:type="dxa"/>
            <w:shd w:val="clear" w:color="auto" w:fill="FFFFFF"/>
            <w:vAlign w:val="center"/>
          </w:tcPr>
          <w:p w14:paraId="1AC93A52" w14:textId="26586883" w:rsidR="00E67EDB" w:rsidRDefault="00707908" w:rsidP="00356BE7">
            <w:pPr>
              <w:pStyle w:val="CAMPI"/>
              <w:jc w:val="both"/>
            </w:pPr>
            <w:r>
              <w:t>NONE</w:t>
            </w:r>
          </w:p>
        </w:tc>
      </w:tr>
      <w:tr w:rsidR="00E67EDB" w14:paraId="3060C44C" w14:textId="77777777" w:rsidTr="00356BE7">
        <w:trPr>
          <w:trHeight w:val="567"/>
        </w:trPr>
        <w:tc>
          <w:tcPr>
            <w:tcW w:w="2943" w:type="dxa"/>
            <w:vAlign w:val="center"/>
          </w:tcPr>
          <w:p w14:paraId="0738CD7D" w14:textId="0A08A596" w:rsidR="00E67EDB" w:rsidRDefault="00E639BF" w:rsidP="00356BE7">
            <w:pPr>
              <w:pStyle w:val="LABELSEMPLICI"/>
            </w:pPr>
            <w:r w:rsidRPr="00E639BF">
              <w:t xml:space="preserve">CA10. presenza di habitat e specie animali e vegetali di rilievo </w:t>
            </w:r>
            <w:proofErr w:type="spellStart"/>
            <w:r w:rsidRPr="00E639BF">
              <w:t>conservazionistico</w:t>
            </w:r>
            <w:proofErr w:type="spellEnd"/>
            <w:r w:rsidRPr="00E639BF">
              <w:t xml:space="preserve">, nonché di </w:t>
            </w:r>
            <w:proofErr w:type="spellStart"/>
            <w:r w:rsidRPr="00E639BF">
              <w:t>geositi</w:t>
            </w:r>
            <w:proofErr w:type="spellEnd"/>
          </w:p>
        </w:tc>
        <w:tc>
          <w:tcPr>
            <w:tcW w:w="6266" w:type="dxa"/>
            <w:shd w:val="clear" w:color="auto" w:fill="FFFFFF"/>
            <w:vAlign w:val="center"/>
          </w:tcPr>
          <w:p w14:paraId="292FF899" w14:textId="12C6122C" w:rsidR="00E67EDB" w:rsidRDefault="00E67EDB" w:rsidP="00356BE7">
            <w:pPr>
              <w:pStyle w:val="CAMPI"/>
              <w:jc w:val="both"/>
            </w:pPr>
          </w:p>
        </w:tc>
      </w:tr>
      <w:tr w:rsidR="00E67EDB" w14:paraId="02B88F50" w14:textId="77777777" w:rsidTr="00356BE7">
        <w:trPr>
          <w:trHeight w:val="567"/>
        </w:trPr>
        <w:tc>
          <w:tcPr>
            <w:tcW w:w="2943" w:type="dxa"/>
            <w:vAlign w:val="center"/>
          </w:tcPr>
          <w:p w14:paraId="6C55A966" w14:textId="77777777" w:rsidR="00E639BF" w:rsidRDefault="00E639BF" w:rsidP="00E639BF">
            <w:pPr>
              <w:pStyle w:val="LABELSEMPLICI"/>
            </w:pPr>
          </w:p>
          <w:p w14:paraId="0B5772BA" w14:textId="2D50A232" w:rsidR="00E67EDB" w:rsidRDefault="00E639BF" w:rsidP="00E639BF">
            <w:pPr>
              <w:pStyle w:val="LABELSEMPLICI"/>
            </w:pPr>
            <w:r>
              <w:t>CA11. produzioni agricole di particolare qualità e tipicità e luoghi di interesse archeologico e storico</w:t>
            </w:r>
          </w:p>
        </w:tc>
        <w:tc>
          <w:tcPr>
            <w:tcW w:w="6266" w:type="dxa"/>
            <w:shd w:val="clear" w:color="auto" w:fill="FFFFFF"/>
            <w:vAlign w:val="center"/>
          </w:tcPr>
          <w:p w14:paraId="34D8F840" w14:textId="62E77F48" w:rsidR="00E67EDB" w:rsidRDefault="00E155D5" w:rsidP="00356BE7">
            <w:pPr>
              <w:pStyle w:val="CAMPI"/>
              <w:jc w:val="both"/>
            </w:pPr>
            <w:r>
              <w:t>NONE</w:t>
            </w:r>
          </w:p>
        </w:tc>
      </w:tr>
      <w:tr w:rsidR="00E67EDB" w14:paraId="3294F8F5" w14:textId="77777777" w:rsidTr="00356BE7">
        <w:trPr>
          <w:trHeight w:val="567"/>
        </w:trPr>
        <w:tc>
          <w:tcPr>
            <w:tcW w:w="2943" w:type="dxa"/>
            <w:vAlign w:val="center"/>
          </w:tcPr>
          <w:p w14:paraId="7D5E9E4A" w14:textId="3B1EABE5" w:rsidR="00E67EDB" w:rsidRDefault="00E639BF" w:rsidP="00356BE7">
            <w:pPr>
              <w:pStyle w:val="LABELSEMPLICI"/>
            </w:pPr>
            <w:r w:rsidRPr="00E639BF">
              <w:t>CA12. disponibilità di vie di comunicazione primarie e infrastrutture di trasporto</w:t>
            </w:r>
          </w:p>
        </w:tc>
        <w:tc>
          <w:tcPr>
            <w:tcW w:w="6266" w:type="dxa"/>
            <w:shd w:val="clear" w:color="auto" w:fill="FFFFFF"/>
            <w:vAlign w:val="center"/>
          </w:tcPr>
          <w:p w14:paraId="31EB7FDC" w14:textId="3258B4AA" w:rsidR="00E67EDB" w:rsidRDefault="00E155D5" w:rsidP="00356BE7">
            <w:pPr>
              <w:pStyle w:val="CAMPI"/>
              <w:jc w:val="both"/>
            </w:pPr>
            <w:r>
              <w:t>NONE</w:t>
            </w:r>
          </w:p>
        </w:tc>
      </w:tr>
      <w:tr w:rsidR="00E67EDB" w14:paraId="4BB8E6C3" w14:textId="77777777" w:rsidTr="00356BE7">
        <w:trPr>
          <w:trHeight w:val="567"/>
        </w:trPr>
        <w:tc>
          <w:tcPr>
            <w:tcW w:w="2943" w:type="dxa"/>
            <w:vAlign w:val="center"/>
          </w:tcPr>
          <w:p w14:paraId="181FA746" w14:textId="657C5410" w:rsidR="00E67EDB" w:rsidRDefault="00E639BF" w:rsidP="00356BE7">
            <w:pPr>
              <w:pStyle w:val="LABELSEMPLICI"/>
            </w:pPr>
            <w:r w:rsidRPr="00E639BF">
              <w:t>CA13. presenza di infrastrutture critiche rilevanti o strategiche</w:t>
            </w:r>
          </w:p>
        </w:tc>
        <w:tc>
          <w:tcPr>
            <w:tcW w:w="6266" w:type="dxa"/>
            <w:shd w:val="clear" w:color="auto" w:fill="FFFFFF"/>
            <w:vAlign w:val="center"/>
          </w:tcPr>
          <w:p w14:paraId="1160DADC" w14:textId="6F249DB7" w:rsidR="00E67EDB" w:rsidRDefault="00E155D5" w:rsidP="00356BE7">
            <w:pPr>
              <w:pStyle w:val="CAMPI"/>
              <w:jc w:val="both"/>
            </w:pPr>
            <w:r>
              <w:t>NONE</w:t>
            </w:r>
          </w:p>
        </w:tc>
      </w:tr>
    </w:tbl>
    <w:p w14:paraId="59C0CB84" w14:textId="28AE3844" w:rsidR="00862AB7" w:rsidRDefault="00862AB7">
      <w:pPr>
        <w:rPr>
          <w:rFonts w:asciiTheme="majorHAnsi" w:hAnsiTheme="majorHAnsi"/>
          <w:sz w:val="20"/>
        </w:rPr>
      </w:pPr>
    </w:p>
    <w:tbl>
      <w:tblPr>
        <w:tblStyle w:val="Grigliatabella"/>
        <w:tblW w:w="0" w:type="auto"/>
        <w:tblLook w:val="04A0" w:firstRow="1" w:lastRow="0" w:firstColumn="1" w:lastColumn="0" w:noHBand="0" w:noVBand="1"/>
      </w:tblPr>
      <w:tblGrid>
        <w:gridCol w:w="8829"/>
      </w:tblGrid>
      <w:tr w:rsidR="00862AB7" w14:paraId="0BF0BB8F" w14:textId="77777777" w:rsidTr="00862AB7">
        <w:tc>
          <w:tcPr>
            <w:tcW w:w="8829" w:type="dxa"/>
          </w:tcPr>
          <w:p w14:paraId="10EDC023" w14:textId="5203DE00" w:rsidR="00862AB7" w:rsidRDefault="00862AB7" w:rsidP="00862AB7">
            <w:pPr>
              <w:jc w:val="center"/>
              <w:rPr>
                <w:rFonts w:asciiTheme="majorHAnsi" w:hAnsiTheme="majorHAnsi"/>
                <w:sz w:val="20"/>
              </w:rPr>
            </w:pPr>
            <w:r>
              <w:rPr>
                <w:noProof/>
              </w:rPr>
              <w:drawing>
                <wp:inline distT="0" distB="0" distL="0" distR="0" wp14:anchorId="7968811C" wp14:editId="3A96F2EF">
                  <wp:extent cx="4028290" cy="1902248"/>
                  <wp:effectExtent l="0" t="0" r="0" b="317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49143" cy="1912095"/>
                          </a:xfrm>
                          <a:prstGeom prst="rect">
                            <a:avLst/>
                          </a:prstGeom>
                        </pic:spPr>
                      </pic:pic>
                    </a:graphicData>
                  </a:graphic>
                </wp:inline>
              </w:drawing>
            </w:r>
          </w:p>
        </w:tc>
      </w:tr>
      <w:tr w:rsidR="00862AB7" w14:paraId="294F56AE" w14:textId="77777777" w:rsidTr="00862AB7">
        <w:tc>
          <w:tcPr>
            <w:tcW w:w="8829" w:type="dxa"/>
          </w:tcPr>
          <w:p w14:paraId="2D58234F" w14:textId="49BB8FFF" w:rsidR="00862AB7" w:rsidRPr="00862AB7" w:rsidRDefault="00862AB7" w:rsidP="000B7B2D">
            <w:pPr>
              <w:jc w:val="both"/>
              <w:rPr>
                <w:rFonts w:ascii="Arial" w:hAnsi="Arial" w:cs="Arial"/>
                <w:sz w:val="20"/>
                <w:szCs w:val="20"/>
              </w:rPr>
            </w:pPr>
            <w:r w:rsidRPr="000B7B2D">
              <w:rPr>
                <w:rFonts w:ascii="Arial" w:hAnsi="Arial" w:cs="Arial"/>
                <w:b/>
                <w:sz w:val="20"/>
                <w:szCs w:val="20"/>
              </w:rPr>
              <w:t>Fig. 1 -</w:t>
            </w:r>
            <w:r w:rsidRPr="00862AB7">
              <w:rPr>
                <w:rFonts w:ascii="Arial" w:hAnsi="Arial" w:cs="Arial"/>
                <w:sz w:val="20"/>
                <w:szCs w:val="20"/>
              </w:rPr>
              <w:t xml:space="preserve"> Massima intensità risentita: VII MCS, terremoto irpino del 23 luglio 1930</w:t>
            </w:r>
            <w:r w:rsidR="000B7B2D">
              <w:rPr>
                <w:rFonts w:ascii="Arial" w:hAnsi="Arial" w:cs="Arial"/>
                <w:sz w:val="20"/>
                <w:szCs w:val="20"/>
              </w:rPr>
              <w:t xml:space="preserve"> </w:t>
            </w:r>
            <w:r w:rsidRPr="00862AB7">
              <w:rPr>
                <w:rFonts w:ascii="Arial" w:hAnsi="Arial" w:cs="Arial"/>
                <w:sz w:val="20"/>
                <w:szCs w:val="20"/>
              </w:rPr>
              <w:t xml:space="preserve">(Dati DBMI15 - </w:t>
            </w:r>
            <w:hyperlink r:id="rId14" w:history="1">
              <w:r w:rsidRPr="00862AB7">
                <w:rPr>
                  <w:rStyle w:val="Collegamentoipertestuale"/>
                  <w:rFonts w:ascii="Arial" w:hAnsi="Arial" w:cs="Arial"/>
                  <w:sz w:val="20"/>
                  <w:szCs w:val="20"/>
                </w:rPr>
                <w:t>https://emidius.mi.ingv.it/CPTI15-DBMI15</w:t>
              </w:r>
            </w:hyperlink>
            <w:r w:rsidRPr="00862AB7">
              <w:rPr>
                <w:rFonts w:ascii="Arial" w:hAnsi="Arial" w:cs="Arial"/>
                <w:sz w:val="20"/>
                <w:szCs w:val="20"/>
              </w:rPr>
              <w:t>)</w:t>
            </w:r>
          </w:p>
        </w:tc>
      </w:tr>
    </w:tbl>
    <w:p w14:paraId="48E0F475" w14:textId="77777777" w:rsidR="00CC7E9C" w:rsidRDefault="00CC7E9C"/>
    <w:tbl>
      <w:tblPr>
        <w:tblStyle w:val="Grigliatabella"/>
        <w:tblW w:w="0" w:type="auto"/>
        <w:tblLook w:val="04A0" w:firstRow="1" w:lastRow="0" w:firstColumn="1" w:lastColumn="0" w:noHBand="0" w:noVBand="1"/>
      </w:tblPr>
      <w:tblGrid>
        <w:gridCol w:w="8829"/>
      </w:tblGrid>
      <w:tr w:rsidR="00862AB7" w14:paraId="6AB0A8D3" w14:textId="77777777" w:rsidTr="00862AB7">
        <w:tc>
          <w:tcPr>
            <w:tcW w:w="8829" w:type="dxa"/>
          </w:tcPr>
          <w:p w14:paraId="63BD27E7" w14:textId="51E5FEF5" w:rsidR="00862AB7" w:rsidRPr="00862AB7" w:rsidRDefault="00525BBB" w:rsidP="00CC7E9C">
            <w:pPr>
              <w:jc w:val="center"/>
              <w:rPr>
                <w:rFonts w:ascii="Arial" w:hAnsi="Arial" w:cs="Arial"/>
                <w:sz w:val="20"/>
                <w:szCs w:val="20"/>
              </w:rPr>
            </w:pPr>
            <w:proofErr w:type="spellStart"/>
            <w:r w:rsidRPr="000B7B2D">
              <w:rPr>
                <w:rFonts w:ascii="Arial" w:hAnsi="Arial" w:cs="Arial"/>
                <w:b/>
                <w:sz w:val="20"/>
                <w:szCs w:val="20"/>
              </w:rPr>
              <w:t>Tab</w:t>
            </w:r>
            <w:proofErr w:type="spellEnd"/>
            <w:r w:rsidRPr="000B7B2D">
              <w:rPr>
                <w:rFonts w:ascii="Arial" w:hAnsi="Arial" w:cs="Arial"/>
                <w:b/>
                <w:sz w:val="20"/>
                <w:szCs w:val="20"/>
              </w:rPr>
              <w:t>. 1</w:t>
            </w:r>
            <w:r w:rsidR="00FD7983" w:rsidRPr="000B7B2D">
              <w:rPr>
                <w:rFonts w:ascii="Arial" w:hAnsi="Arial" w:cs="Arial"/>
                <w:b/>
                <w:sz w:val="20"/>
                <w:szCs w:val="20"/>
              </w:rPr>
              <w:t xml:space="preserve"> </w:t>
            </w:r>
            <w:r w:rsidRPr="000B7B2D">
              <w:rPr>
                <w:rFonts w:ascii="Arial" w:hAnsi="Arial" w:cs="Arial"/>
                <w:b/>
                <w:sz w:val="20"/>
                <w:szCs w:val="20"/>
              </w:rPr>
              <w:t>-</w:t>
            </w:r>
            <w:r>
              <w:rPr>
                <w:rFonts w:ascii="Arial" w:hAnsi="Arial" w:cs="Arial"/>
                <w:sz w:val="20"/>
                <w:szCs w:val="20"/>
              </w:rPr>
              <w:t xml:space="preserve"> </w:t>
            </w:r>
            <w:r w:rsidR="00862AB7" w:rsidRPr="00525BBB">
              <w:rPr>
                <w:rFonts w:ascii="Arial" w:hAnsi="Arial" w:cs="Arial"/>
                <w:b/>
                <w:bCs/>
                <w:sz w:val="20"/>
                <w:szCs w:val="20"/>
              </w:rPr>
              <w:t>Sismicità storica</w:t>
            </w:r>
            <w:r w:rsidR="00CC7E9C">
              <w:rPr>
                <w:rFonts w:ascii="Arial" w:hAnsi="Arial" w:cs="Arial"/>
                <w:b/>
                <w:bCs/>
                <w:sz w:val="20"/>
                <w:szCs w:val="20"/>
              </w:rPr>
              <w:t>:</w:t>
            </w:r>
            <w:r w:rsidR="00862AB7" w:rsidRPr="00525BBB">
              <w:rPr>
                <w:rFonts w:ascii="Arial" w:hAnsi="Arial" w:cs="Arial"/>
                <w:b/>
                <w:bCs/>
                <w:sz w:val="20"/>
                <w:szCs w:val="20"/>
              </w:rPr>
              <w:t xml:space="preserve"> </w:t>
            </w:r>
            <w:r w:rsidR="00862AB7" w:rsidRPr="00525BBB">
              <w:rPr>
                <w:rFonts w:ascii="Arial" w:hAnsi="Arial" w:cs="Arial"/>
                <w:sz w:val="20"/>
                <w:szCs w:val="20"/>
              </w:rPr>
              <w:t xml:space="preserve">Dati estratti dal Catalogo Parametrico dei Terremoti </w:t>
            </w:r>
            <w:r w:rsidR="000B7B2D">
              <w:rPr>
                <w:rFonts w:ascii="Arial" w:hAnsi="Arial" w:cs="Arial"/>
                <w:sz w:val="20"/>
                <w:szCs w:val="20"/>
              </w:rPr>
              <w:t>Italiani (</w:t>
            </w:r>
            <w:proofErr w:type="spellStart"/>
            <w:r w:rsidR="000B7B2D">
              <w:rPr>
                <w:rFonts w:ascii="Arial" w:hAnsi="Arial" w:cs="Arial"/>
                <w:sz w:val="20"/>
                <w:szCs w:val="20"/>
              </w:rPr>
              <w:t>Rovida</w:t>
            </w:r>
            <w:proofErr w:type="spellEnd"/>
            <w:r w:rsidR="000B7B2D">
              <w:rPr>
                <w:rFonts w:ascii="Arial" w:hAnsi="Arial" w:cs="Arial"/>
                <w:sz w:val="20"/>
                <w:szCs w:val="20"/>
              </w:rPr>
              <w:t xml:space="preserve"> et al., 2019).</w:t>
            </w:r>
          </w:p>
        </w:tc>
      </w:tr>
      <w:tr w:rsidR="00862AB7" w14:paraId="1FB31257" w14:textId="77777777" w:rsidTr="00862AB7">
        <w:tc>
          <w:tcPr>
            <w:tcW w:w="8829" w:type="dxa"/>
          </w:tcPr>
          <w:p w14:paraId="33B768DA" w14:textId="77777777" w:rsidR="00862AB7" w:rsidRPr="006D6971" w:rsidRDefault="00862AB7" w:rsidP="00862AB7">
            <w:pPr>
              <w:suppressAutoHyphens w:val="0"/>
              <w:autoSpaceDE w:val="0"/>
              <w:autoSpaceDN w:val="0"/>
              <w:adjustRightInd w:val="0"/>
              <w:ind w:left="1440"/>
              <w:rPr>
                <w:rFonts w:ascii="Courier New" w:eastAsia="Calibri" w:hAnsi="Courier New" w:cs="Courier New"/>
                <w:sz w:val="22"/>
                <w:szCs w:val="22"/>
                <w:lang w:val="en-GB" w:eastAsia="en-US"/>
              </w:rPr>
            </w:pPr>
            <w:r w:rsidRPr="00525BBB">
              <w:rPr>
                <w:rFonts w:ascii="Courier New" w:eastAsia="Calibri" w:hAnsi="Courier New" w:cs="Courier New"/>
                <w:sz w:val="22"/>
                <w:szCs w:val="22"/>
                <w:lang w:eastAsia="en-US"/>
              </w:rPr>
              <w:t xml:space="preserve">  </w:t>
            </w:r>
            <w:r w:rsidRPr="006D6971">
              <w:rPr>
                <w:rFonts w:ascii="Courier New" w:eastAsia="Calibri" w:hAnsi="Courier New" w:cs="Courier New"/>
                <w:sz w:val="22"/>
                <w:szCs w:val="22"/>
                <w:lang w:val="en-GB" w:eastAsia="en-US"/>
              </w:rPr>
              <w:t xml:space="preserve">gg  me  anno      </w:t>
            </w:r>
            <w:proofErr w:type="spellStart"/>
            <w:r w:rsidRPr="006D6971">
              <w:rPr>
                <w:rFonts w:ascii="Courier New" w:eastAsia="Calibri" w:hAnsi="Courier New" w:cs="Courier New"/>
                <w:sz w:val="22"/>
                <w:szCs w:val="22"/>
                <w:lang w:val="en-GB" w:eastAsia="en-US"/>
              </w:rPr>
              <w:t>lat</w:t>
            </w:r>
            <w:proofErr w:type="spellEnd"/>
            <w:r w:rsidRPr="006D6971">
              <w:rPr>
                <w:rFonts w:ascii="Courier New" w:eastAsia="Calibri" w:hAnsi="Courier New" w:cs="Courier New"/>
                <w:sz w:val="22"/>
                <w:szCs w:val="22"/>
                <w:lang w:val="en-GB" w:eastAsia="en-US"/>
              </w:rPr>
              <w:t xml:space="preserve">      long        mag </w:t>
            </w:r>
          </w:p>
          <w:p w14:paraId="1E3E300A"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6D6971">
              <w:rPr>
                <w:rFonts w:ascii="Courier New" w:eastAsia="Calibri" w:hAnsi="Courier New" w:cs="Courier New"/>
                <w:sz w:val="22"/>
                <w:szCs w:val="22"/>
                <w:lang w:val="en-GB" w:eastAsia="en-US"/>
              </w:rPr>
              <w:t xml:space="preserve">  </w:t>
            </w:r>
            <w:r w:rsidRPr="00862AB7">
              <w:rPr>
                <w:rFonts w:ascii="Courier New" w:eastAsia="Calibri" w:hAnsi="Courier New" w:cs="Courier New"/>
                <w:sz w:val="22"/>
                <w:szCs w:val="22"/>
                <w:lang w:eastAsia="en-US"/>
              </w:rPr>
              <w:t>10  11  1634     40.667   16.611      4.86</w:t>
            </w:r>
          </w:p>
          <w:p w14:paraId="52C5B5FD"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t xml:space="preserve">   0   9  1722     40.667   16.611      4.16</w:t>
            </w:r>
          </w:p>
          <w:p w14:paraId="05E39A42"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t xml:space="preserve">  10   8  1845     40.667   16.611      4.51</w:t>
            </w:r>
          </w:p>
          <w:p w14:paraId="07A1864F"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t xml:space="preserve">  24  12  1885     40.534   16.427      5.09</w:t>
            </w:r>
          </w:p>
          <w:p w14:paraId="5AAA3E3E"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t xml:space="preserve">   9   1  1956     40.570   16.366      4.72</w:t>
            </w:r>
          </w:p>
          <w:p w14:paraId="5022BD8B"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lastRenderedPageBreak/>
              <w:t xml:space="preserve">   6   7  1966     40.956   16.194      4.26</w:t>
            </w:r>
          </w:p>
          <w:p w14:paraId="5FCE6259"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t xml:space="preserve">  24   9  1978     40.646   16.487      4.75</w:t>
            </w:r>
          </w:p>
          <w:p w14:paraId="0B9FDCE8" w14:textId="77777777" w:rsidR="00862AB7" w:rsidRPr="00862AB7" w:rsidRDefault="00862AB7" w:rsidP="00862AB7">
            <w:pPr>
              <w:suppressAutoHyphens w:val="0"/>
              <w:autoSpaceDE w:val="0"/>
              <w:autoSpaceDN w:val="0"/>
              <w:adjustRightInd w:val="0"/>
              <w:ind w:left="1440"/>
              <w:rPr>
                <w:rFonts w:ascii="Courier New" w:eastAsia="Calibri" w:hAnsi="Courier New" w:cs="Courier New"/>
                <w:sz w:val="22"/>
                <w:szCs w:val="22"/>
                <w:lang w:eastAsia="en-US"/>
              </w:rPr>
            </w:pPr>
            <w:r w:rsidRPr="00862AB7">
              <w:rPr>
                <w:rFonts w:ascii="Courier New" w:eastAsia="Calibri" w:hAnsi="Courier New" w:cs="Courier New"/>
                <w:sz w:val="22"/>
                <w:szCs w:val="22"/>
                <w:lang w:eastAsia="en-US"/>
              </w:rPr>
              <w:t xml:space="preserve">   7   9  2006     40.591   16.162      4.05</w:t>
            </w:r>
          </w:p>
          <w:p w14:paraId="164993AD" w14:textId="77777777" w:rsidR="00862AB7" w:rsidRDefault="00862AB7">
            <w:pPr>
              <w:rPr>
                <w:rFonts w:asciiTheme="majorHAnsi" w:hAnsiTheme="majorHAnsi"/>
                <w:sz w:val="20"/>
              </w:rPr>
            </w:pPr>
          </w:p>
        </w:tc>
      </w:tr>
      <w:tr w:rsidR="00862AB7" w14:paraId="4E2961F8" w14:textId="77777777" w:rsidTr="00862AB7">
        <w:tc>
          <w:tcPr>
            <w:tcW w:w="8829" w:type="dxa"/>
          </w:tcPr>
          <w:p w14:paraId="33D359D0" w14:textId="7F2DE36B" w:rsidR="00862AB7" w:rsidRDefault="00862AB7" w:rsidP="00862AB7">
            <w:pPr>
              <w:jc w:val="center"/>
              <w:rPr>
                <w:rFonts w:asciiTheme="majorHAnsi" w:hAnsiTheme="majorHAnsi"/>
                <w:sz w:val="20"/>
              </w:rPr>
            </w:pPr>
            <w:r>
              <w:rPr>
                <w:rFonts w:asciiTheme="majorHAnsi" w:hAnsiTheme="majorHAnsi"/>
                <w:noProof/>
                <w:sz w:val="20"/>
              </w:rPr>
              <w:lastRenderedPageBreak/>
              <w:drawing>
                <wp:inline distT="0" distB="0" distL="0" distR="0" wp14:anchorId="6D2972CC" wp14:editId="269D574B">
                  <wp:extent cx="3219450" cy="3026361"/>
                  <wp:effectExtent l="0" t="0" r="0" b="317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4414" cy="3040427"/>
                          </a:xfrm>
                          <a:prstGeom prst="rect">
                            <a:avLst/>
                          </a:prstGeom>
                          <a:noFill/>
                        </pic:spPr>
                      </pic:pic>
                    </a:graphicData>
                  </a:graphic>
                </wp:inline>
              </w:drawing>
            </w:r>
          </w:p>
        </w:tc>
      </w:tr>
      <w:tr w:rsidR="00525BBB" w14:paraId="3EE8B837" w14:textId="77777777" w:rsidTr="00862AB7">
        <w:tc>
          <w:tcPr>
            <w:tcW w:w="8829" w:type="dxa"/>
          </w:tcPr>
          <w:p w14:paraId="261CEE25" w14:textId="746C6558" w:rsidR="00525BBB" w:rsidRPr="00525BBB" w:rsidRDefault="00525BBB" w:rsidP="00CC7E9C">
            <w:pPr>
              <w:jc w:val="center"/>
              <w:rPr>
                <w:rFonts w:asciiTheme="majorHAnsi" w:hAnsiTheme="majorHAnsi"/>
                <w:noProof/>
                <w:sz w:val="20"/>
                <w:lang w:eastAsia="en-GB"/>
              </w:rPr>
            </w:pPr>
            <w:r w:rsidRPr="000B7B2D">
              <w:rPr>
                <w:rFonts w:ascii="Arial" w:hAnsi="Arial" w:cs="Arial"/>
                <w:b/>
                <w:sz w:val="20"/>
                <w:szCs w:val="20"/>
              </w:rPr>
              <w:t>Fig.</w:t>
            </w:r>
            <w:r w:rsidR="000B7B2D">
              <w:rPr>
                <w:rFonts w:ascii="Arial" w:hAnsi="Arial" w:cs="Arial"/>
                <w:b/>
                <w:sz w:val="20"/>
                <w:szCs w:val="20"/>
              </w:rPr>
              <w:t xml:space="preserve"> </w:t>
            </w:r>
            <w:r w:rsidRPr="000B7B2D">
              <w:rPr>
                <w:rFonts w:ascii="Arial" w:hAnsi="Arial" w:cs="Arial"/>
                <w:b/>
                <w:sz w:val="20"/>
                <w:szCs w:val="20"/>
              </w:rPr>
              <w:t>2 -</w:t>
            </w:r>
            <w:r>
              <w:rPr>
                <w:rFonts w:ascii="Arial" w:hAnsi="Arial" w:cs="Arial"/>
                <w:sz w:val="20"/>
                <w:szCs w:val="20"/>
              </w:rPr>
              <w:t xml:space="preserve"> </w:t>
            </w:r>
            <w:r w:rsidRPr="00525BBB">
              <w:rPr>
                <w:rFonts w:ascii="Arial" w:hAnsi="Arial" w:cs="Arial"/>
                <w:b/>
                <w:bCs/>
                <w:sz w:val="20"/>
                <w:szCs w:val="20"/>
              </w:rPr>
              <w:t>Sismicità storica</w:t>
            </w:r>
            <w:r w:rsidR="00CC7E9C">
              <w:rPr>
                <w:rFonts w:ascii="Arial" w:hAnsi="Arial" w:cs="Arial"/>
                <w:b/>
                <w:bCs/>
                <w:sz w:val="20"/>
                <w:szCs w:val="20"/>
              </w:rPr>
              <w:t>:</w:t>
            </w:r>
            <w:r w:rsidRPr="00525BBB">
              <w:rPr>
                <w:rFonts w:ascii="Arial" w:hAnsi="Arial" w:cs="Arial"/>
                <w:b/>
                <w:bCs/>
                <w:sz w:val="20"/>
                <w:szCs w:val="20"/>
              </w:rPr>
              <w:t xml:space="preserve"> </w:t>
            </w:r>
            <w:r w:rsidRPr="00862AB7">
              <w:rPr>
                <w:rFonts w:ascii="Arial" w:hAnsi="Arial" w:cs="Arial"/>
                <w:sz w:val="20"/>
                <w:szCs w:val="20"/>
              </w:rPr>
              <w:t>Estrazione circolare con raggio 30 km e centro coordinate 40.777 N - 16.364 E</w:t>
            </w:r>
          </w:p>
        </w:tc>
      </w:tr>
    </w:tbl>
    <w:p w14:paraId="7DC2DFCA" w14:textId="45048721" w:rsidR="00E639BF" w:rsidRDefault="00E639BF">
      <w:pPr>
        <w:rPr>
          <w:rFonts w:asciiTheme="majorHAnsi" w:hAnsiTheme="majorHAnsi"/>
          <w:sz w:val="20"/>
        </w:rPr>
      </w:pPr>
    </w:p>
    <w:p w14:paraId="2C6ED219" w14:textId="77777777"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4075D2F9" w14:textId="77777777"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8784" w:type="dxa"/>
        <w:tblLayout w:type="fixed"/>
        <w:tblLook w:val="04A0" w:firstRow="1" w:lastRow="0" w:firstColumn="1" w:lastColumn="0" w:noHBand="0" w:noVBand="1"/>
      </w:tblPr>
      <w:tblGrid>
        <w:gridCol w:w="8784"/>
      </w:tblGrid>
      <w:tr w:rsidR="00862AB7" w14:paraId="0CE3219F" w14:textId="77777777" w:rsidTr="00D45592">
        <w:tc>
          <w:tcPr>
            <w:tcW w:w="8784" w:type="dxa"/>
          </w:tcPr>
          <w:p w14:paraId="765097F9" w14:textId="07B9AD28" w:rsidR="00862AB7" w:rsidRDefault="00862AB7" w:rsidP="00862AB7">
            <w:pPr>
              <w:tabs>
                <w:tab w:val="left" w:pos="2715"/>
                <w:tab w:val="left" w:pos="4253"/>
                <w:tab w:val="left" w:pos="4962"/>
                <w:tab w:val="left" w:pos="5245"/>
              </w:tabs>
              <w:spacing w:line="276" w:lineRule="auto"/>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tab/>
            </w:r>
            <w:r>
              <w:rPr>
                <w:rFonts w:asciiTheme="majorHAnsi" w:eastAsia="Cambria" w:hAnsiTheme="majorHAnsi"/>
                <w:b/>
                <w:bCs/>
                <w:noProof/>
                <w:color w:val="0F243E" w:themeColor="text2" w:themeShade="80"/>
              </w:rPr>
              <w:drawing>
                <wp:inline distT="0" distB="0" distL="0" distR="0" wp14:anchorId="57E4B4E9" wp14:editId="0901C31C">
                  <wp:extent cx="5375403" cy="2988945"/>
                  <wp:effectExtent l="0" t="0" r="0" b="190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86769" cy="2995265"/>
                          </a:xfrm>
                          <a:prstGeom prst="rect">
                            <a:avLst/>
                          </a:prstGeom>
                          <a:noFill/>
                        </pic:spPr>
                      </pic:pic>
                    </a:graphicData>
                  </a:graphic>
                </wp:inline>
              </w:drawing>
            </w:r>
            <w:r>
              <w:rPr>
                <w:rFonts w:asciiTheme="majorHAnsi" w:eastAsia="Cambria" w:hAnsiTheme="majorHAnsi"/>
                <w:b/>
                <w:bCs/>
                <w:color w:val="0F243E" w:themeColor="text2" w:themeShade="80"/>
              </w:rPr>
              <w:tab/>
            </w:r>
          </w:p>
        </w:tc>
      </w:tr>
      <w:tr w:rsidR="00862AB7" w14:paraId="52AC0C16" w14:textId="77777777" w:rsidTr="00D45592">
        <w:tc>
          <w:tcPr>
            <w:tcW w:w="8784" w:type="dxa"/>
          </w:tcPr>
          <w:p w14:paraId="008D957A" w14:textId="1F973B6D" w:rsidR="00862AB7" w:rsidRPr="000B7B2D" w:rsidRDefault="00862AB7" w:rsidP="00CC7E9C">
            <w:pPr>
              <w:jc w:val="both"/>
              <w:rPr>
                <w:rFonts w:ascii="Arial" w:hAnsi="Arial" w:cs="Arial"/>
                <w:sz w:val="20"/>
                <w:szCs w:val="20"/>
              </w:rPr>
            </w:pPr>
            <w:r w:rsidRPr="00C1087C">
              <w:rPr>
                <w:rFonts w:ascii="Arial" w:eastAsia="Cambria" w:hAnsi="Arial" w:cs="Arial"/>
                <w:b/>
                <w:bCs/>
                <w:sz w:val="20"/>
                <w:szCs w:val="20"/>
              </w:rPr>
              <w:t xml:space="preserve">Fig. 3 </w:t>
            </w:r>
            <w:r w:rsidR="00C1087C">
              <w:rPr>
                <w:rFonts w:ascii="Arial" w:eastAsia="Cambria" w:hAnsi="Arial" w:cs="Arial"/>
                <w:b/>
                <w:bCs/>
                <w:sz w:val="20"/>
                <w:szCs w:val="20"/>
              </w:rPr>
              <w:t>-</w:t>
            </w:r>
            <w:r w:rsidRPr="00C1087C">
              <w:rPr>
                <w:rFonts w:ascii="Arial" w:eastAsia="Cambria" w:hAnsi="Arial" w:cs="Arial"/>
                <w:b/>
                <w:bCs/>
                <w:sz w:val="20"/>
                <w:szCs w:val="20"/>
              </w:rPr>
              <w:t xml:space="preserve"> </w:t>
            </w:r>
            <w:r w:rsidR="008B6077" w:rsidRPr="00C1087C">
              <w:rPr>
                <w:rFonts w:ascii="Arial" w:eastAsia="Cambria" w:hAnsi="Arial" w:cs="Arial"/>
                <w:b/>
                <w:bCs/>
                <w:sz w:val="20"/>
                <w:szCs w:val="20"/>
              </w:rPr>
              <w:t>Sismicità strumentale</w:t>
            </w:r>
            <w:r w:rsidR="00CC7E9C">
              <w:rPr>
                <w:rFonts w:ascii="Arial" w:eastAsia="Cambria" w:hAnsi="Arial" w:cs="Arial"/>
                <w:b/>
                <w:bCs/>
                <w:sz w:val="20"/>
                <w:szCs w:val="20"/>
              </w:rPr>
              <w:t>:</w:t>
            </w:r>
            <w:r w:rsidR="008B6077" w:rsidRPr="00C1087C">
              <w:rPr>
                <w:rFonts w:ascii="Arial" w:eastAsia="Cambria" w:hAnsi="Arial" w:cs="Arial"/>
                <w:b/>
                <w:bCs/>
                <w:sz w:val="20"/>
                <w:szCs w:val="20"/>
              </w:rPr>
              <w:t xml:space="preserve"> </w:t>
            </w:r>
            <w:r w:rsidRPr="00C1087C">
              <w:rPr>
                <w:rFonts w:ascii="Arial" w:hAnsi="Arial" w:cs="Arial"/>
                <w:sz w:val="20"/>
                <w:szCs w:val="20"/>
              </w:rPr>
              <w:t>Dal 1 gennaio 1995 al 4 febbraio 2021 in un raggio di 30 km dal comune di Gravina sono stati registrati 703 eventi sismici, il più intenso il 9 novembre 2018 localizzato 3 km a NE dell’abitato ad una profondità di 38 km con magnitudo ML 3.5.</w:t>
            </w:r>
          </w:p>
        </w:tc>
      </w:tr>
    </w:tbl>
    <w:p w14:paraId="05DDC3F6" w14:textId="669EBAFD"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0" w:type="auto"/>
        <w:tblLook w:val="04A0" w:firstRow="1" w:lastRow="0" w:firstColumn="1" w:lastColumn="0" w:noHBand="0" w:noVBand="1"/>
      </w:tblPr>
      <w:tblGrid>
        <w:gridCol w:w="8829"/>
      </w:tblGrid>
      <w:tr w:rsidR="00A82FFF" w14:paraId="6DC737A7" w14:textId="77777777" w:rsidTr="000078C7">
        <w:tc>
          <w:tcPr>
            <w:tcW w:w="8829" w:type="dxa"/>
          </w:tcPr>
          <w:p w14:paraId="7580EB13" w14:textId="77777777" w:rsidR="00A82FFF" w:rsidRDefault="00A82FFF" w:rsidP="000078C7">
            <w:pPr>
              <w:tabs>
                <w:tab w:val="left" w:pos="4253"/>
                <w:tab w:val="left" w:pos="4962"/>
                <w:tab w:val="left" w:pos="5245"/>
              </w:tabs>
              <w:spacing w:line="276" w:lineRule="auto"/>
              <w:jc w:val="center"/>
              <w:rPr>
                <w:rFonts w:asciiTheme="majorHAnsi" w:hAnsiTheme="majorHAnsi"/>
                <w:b/>
                <w:sz w:val="20"/>
              </w:rPr>
            </w:pPr>
            <w:r w:rsidRPr="00DA2293">
              <w:rPr>
                <w:rFonts w:asciiTheme="majorHAnsi" w:hAnsiTheme="majorHAnsi"/>
                <w:b/>
                <w:noProof/>
                <w:sz w:val="20"/>
              </w:rPr>
              <w:lastRenderedPageBreak/>
              <w:drawing>
                <wp:inline distT="0" distB="0" distL="0" distR="0" wp14:anchorId="7BA6D4AB" wp14:editId="4A39A79F">
                  <wp:extent cx="5153025" cy="3020999"/>
                  <wp:effectExtent l="0" t="0" r="0" b="8255"/>
                  <wp:docPr id="15" name="Immagine 15" descr="C:\Users\Direttore\Desktop\2021 2 8 Aggiornamenti NUCLEARE\VF_BA-5\Fig_5_VF_B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irettore\Desktop\2021 2 8 Aggiornamenti NUCLEARE\VF_BA-5\Fig_5_VF_BA-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3356" cy="3027056"/>
                          </a:xfrm>
                          <a:prstGeom prst="rect">
                            <a:avLst/>
                          </a:prstGeom>
                          <a:noFill/>
                          <a:ln>
                            <a:noFill/>
                          </a:ln>
                        </pic:spPr>
                      </pic:pic>
                    </a:graphicData>
                  </a:graphic>
                </wp:inline>
              </w:drawing>
            </w:r>
          </w:p>
        </w:tc>
      </w:tr>
      <w:tr w:rsidR="00A82FFF" w14:paraId="692CEDAC" w14:textId="77777777" w:rsidTr="000078C7">
        <w:tc>
          <w:tcPr>
            <w:tcW w:w="8829" w:type="dxa"/>
          </w:tcPr>
          <w:p w14:paraId="0EAEF656" w14:textId="617CD908" w:rsidR="00A82FFF" w:rsidRPr="000B7B2D" w:rsidRDefault="00A82FFF" w:rsidP="000B7B2D">
            <w:pPr>
              <w:tabs>
                <w:tab w:val="left" w:pos="4253"/>
                <w:tab w:val="left" w:pos="4962"/>
                <w:tab w:val="left" w:pos="5245"/>
              </w:tabs>
              <w:spacing w:line="276" w:lineRule="auto"/>
              <w:jc w:val="both"/>
              <w:rPr>
                <w:rFonts w:ascii="Arial" w:hAnsi="Arial" w:cs="Arial"/>
                <w:b/>
                <w:sz w:val="20"/>
                <w:szCs w:val="20"/>
              </w:rPr>
            </w:pPr>
            <w:r w:rsidRPr="00C1087C">
              <w:rPr>
                <w:rFonts w:ascii="Arial" w:hAnsi="Arial" w:cs="Arial"/>
                <w:b/>
                <w:sz w:val="20"/>
                <w:szCs w:val="20"/>
              </w:rPr>
              <w:t>Fig. 4 -</w:t>
            </w:r>
            <w:r w:rsidRPr="00C1087C">
              <w:rPr>
                <w:rFonts w:ascii="Arial" w:hAnsi="Arial" w:cs="Arial"/>
                <w:sz w:val="20"/>
                <w:szCs w:val="20"/>
              </w:rPr>
              <w:t xml:space="preserve"> Porzione orientale della struttura sismogenetica di Baragiano-Palagianello (DISS </w:t>
            </w:r>
            <w:proofErr w:type="spellStart"/>
            <w:r w:rsidRPr="00C1087C">
              <w:rPr>
                <w:rFonts w:ascii="Arial" w:hAnsi="Arial" w:cs="Arial"/>
                <w:sz w:val="20"/>
                <w:szCs w:val="20"/>
              </w:rPr>
              <w:t>Working</w:t>
            </w:r>
            <w:proofErr w:type="spellEnd"/>
            <w:r w:rsidRPr="00C1087C">
              <w:rPr>
                <w:rFonts w:ascii="Arial" w:hAnsi="Arial" w:cs="Arial"/>
                <w:sz w:val="20"/>
                <w:szCs w:val="20"/>
              </w:rPr>
              <w:t xml:space="preserve"> Group, 2018); si noti la posizione dell’area del sito BA-5</w:t>
            </w:r>
            <w:r w:rsidR="000B7B2D" w:rsidRPr="00C1087C">
              <w:rPr>
                <w:rFonts w:ascii="Arial" w:hAnsi="Arial" w:cs="Arial"/>
                <w:sz w:val="20"/>
                <w:szCs w:val="20"/>
              </w:rPr>
              <w:t>.</w:t>
            </w:r>
          </w:p>
        </w:tc>
      </w:tr>
      <w:tr w:rsidR="00A82FFF" w14:paraId="3300C2D4" w14:textId="77777777" w:rsidTr="000078C7">
        <w:tc>
          <w:tcPr>
            <w:tcW w:w="8829" w:type="dxa"/>
          </w:tcPr>
          <w:p w14:paraId="5AA625B0" w14:textId="77777777" w:rsidR="00A82FFF" w:rsidRDefault="00A82FFF" w:rsidP="000078C7">
            <w:pPr>
              <w:tabs>
                <w:tab w:val="left" w:pos="2205"/>
                <w:tab w:val="left" w:pos="3990"/>
                <w:tab w:val="left" w:pos="4253"/>
                <w:tab w:val="left" w:pos="4962"/>
                <w:tab w:val="left" w:pos="5245"/>
              </w:tabs>
              <w:spacing w:line="276" w:lineRule="auto"/>
              <w:rPr>
                <w:rFonts w:asciiTheme="majorHAnsi" w:hAnsiTheme="majorHAnsi"/>
                <w:b/>
                <w:sz w:val="20"/>
              </w:rPr>
            </w:pPr>
            <w:r>
              <w:rPr>
                <w:rFonts w:asciiTheme="majorHAnsi" w:hAnsiTheme="majorHAnsi"/>
                <w:b/>
                <w:sz w:val="20"/>
              </w:rPr>
              <w:tab/>
            </w:r>
            <w:r w:rsidRPr="00DA2293">
              <w:rPr>
                <w:rFonts w:asciiTheme="majorHAnsi" w:hAnsiTheme="majorHAnsi"/>
                <w:b/>
                <w:noProof/>
                <w:sz w:val="20"/>
              </w:rPr>
              <w:drawing>
                <wp:inline distT="0" distB="0" distL="0" distR="0" wp14:anchorId="13519A94" wp14:editId="3CA3D9B0">
                  <wp:extent cx="5456555" cy="4991508"/>
                  <wp:effectExtent l="0" t="0" r="0" b="0"/>
                  <wp:docPr id="1" name="Immagine 1" descr="C:\Users\Direttore\Desktop\2021 2 8 Aggiornamenti NUCLEARE\VF_BA-5\Fig_1_VF_B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irettore\Desktop\2021 2 8 Aggiornamenti NUCLEARE\VF_BA-5\Fig_1_VF_BA-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66517" cy="5000621"/>
                          </a:xfrm>
                          <a:prstGeom prst="rect">
                            <a:avLst/>
                          </a:prstGeom>
                          <a:noFill/>
                          <a:ln>
                            <a:noFill/>
                          </a:ln>
                        </pic:spPr>
                      </pic:pic>
                    </a:graphicData>
                  </a:graphic>
                </wp:inline>
              </w:drawing>
            </w:r>
            <w:r>
              <w:rPr>
                <w:rFonts w:asciiTheme="majorHAnsi" w:hAnsiTheme="majorHAnsi"/>
                <w:b/>
                <w:sz w:val="20"/>
              </w:rPr>
              <w:tab/>
            </w:r>
            <w:r>
              <w:rPr>
                <w:rFonts w:asciiTheme="majorHAnsi" w:hAnsiTheme="majorHAnsi"/>
                <w:b/>
                <w:sz w:val="20"/>
              </w:rPr>
              <w:tab/>
            </w:r>
          </w:p>
        </w:tc>
      </w:tr>
      <w:tr w:rsidR="00A82FFF" w14:paraId="73335505" w14:textId="77777777" w:rsidTr="000078C7">
        <w:tc>
          <w:tcPr>
            <w:tcW w:w="8829" w:type="dxa"/>
          </w:tcPr>
          <w:p w14:paraId="3F3F1C74" w14:textId="77777777" w:rsidR="00A82FFF" w:rsidRPr="000B7B2D" w:rsidRDefault="00A82FFF" w:rsidP="000B7B2D">
            <w:pPr>
              <w:tabs>
                <w:tab w:val="left" w:pos="4253"/>
                <w:tab w:val="left" w:pos="4962"/>
                <w:tab w:val="left" w:pos="5245"/>
              </w:tabs>
              <w:spacing w:line="276" w:lineRule="auto"/>
              <w:jc w:val="both"/>
              <w:rPr>
                <w:rFonts w:ascii="Arial" w:hAnsi="Arial" w:cs="Arial"/>
                <w:b/>
                <w:sz w:val="20"/>
                <w:szCs w:val="20"/>
              </w:rPr>
            </w:pPr>
            <w:r w:rsidRPr="00C1087C">
              <w:rPr>
                <w:rFonts w:ascii="Arial" w:hAnsi="Arial" w:cs="Arial"/>
                <w:b/>
                <w:sz w:val="20"/>
                <w:szCs w:val="20"/>
              </w:rPr>
              <w:lastRenderedPageBreak/>
              <w:t>Fig. 5 -</w:t>
            </w:r>
            <w:r w:rsidRPr="00C1087C">
              <w:rPr>
                <w:rFonts w:ascii="Arial" w:hAnsi="Arial" w:cs="Arial"/>
                <w:sz w:val="20"/>
                <w:szCs w:val="20"/>
              </w:rPr>
              <w:t xml:space="preserve"> Carta neotettonica dell'area nei dintorni del </w:t>
            </w:r>
            <w:proofErr w:type="spellStart"/>
            <w:r w:rsidRPr="00C1087C">
              <w:rPr>
                <w:rFonts w:ascii="Arial" w:hAnsi="Arial" w:cs="Arial"/>
                <w:sz w:val="20"/>
                <w:szCs w:val="20"/>
              </w:rPr>
              <w:t>Graben</w:t>
            </w:r>
            <w:proofErr w:type="spellEnd"/>
            <w:r w:rsidRPr="00C1087C">
              <w:rPr>
                <w:rFonts w:ascii="Arial" w:hAnsi="Arial" w:cs="Arial"/>
                <w:sz w:val="20"/>
                <w:szCs w:val="20"/>
              </w:rPr>
              <w:t xml:space="preserve"> di </w:t>
            </w:r>
            <w:proofErr w:type="spellStart"/>
            <w:r w:rsidRPr="00C1087C">
              <w:rPr>
                <w:rFonts w:ascii="Arial" w:hAnsi="Arial" w:cs="Arial"/>
                <w:sz w:val="20"/>
                <w:szCs w:val="20"/>
              </w:rPr>
              <w:t>Viglione</w:t>
            </w:r>
            <w:proofErr w:type="spellEnd"/>
            <w:r w:rsidRPr="00C1087C">
              <w:rPr>
                <w:rFonts w:ascii="Arial" w:hAnsi="Arial" w:cs="Arial"/>
                <w:sz w:val="20"/>
                <w:szCs w:val="20"/>
              </w:rPr>
              <w:t xml:space="preserve"> e del margine esterno della Fossa </w:t>
            </w:r>
            <w:proofErr w:type="spellStart"/>
            <w:r w:rsidRPr="00C1087C">
              <w:rPr>
                <w:rFonts w:ascii="Arial" w:hAnsi="Arial" w:cs="Arial"/>
                <w:sz w:val="20"/>
                <w:szCs w:val="20"/>
              </w:rPr>
              <w:t>bradanica</w:t>
            </w:r>
            <w:proofErr w:type="spellEnd"/>
            <w:r w:rsidRPr="00C1087C">
              <w:rPr>
                <w:rFonts w:ascii="Arial" w:hAnsi="Arial" w:cs="Arial"/>
                <w:sz w:val="20"/>
                <w:szCs w:val="20"/>
              </w:rPr>
              <w:t xml:space="preserve"> (da </w:t>
            </w:r>
            <w:proofErr w:type="spellStart"/>
            <w:r w:rsidRPr="00C1087C">
              <w:rPr>
                <w:rFonts w:ascii="Arial" w:hAnsi="Arial" w:cs="Arial"/>
                <w:sz w:val="20"/>
                <w:szCs w:val="20"/>
              </w:rPr>
              <w:t>Ciaranfi</w:t>
            </w:r>
            <w:proofErr w:type="spellEnd"/>
            <w:r w:rsidRPr="00C1087C">
              <w:rPr>
                <w:rFonts w:ascii="Arial" w:hAnsi="Arial" w:cs="Arial"/>
                <w:sz w:val="20"/>
                <w:szCs w:val="20"/>
              </w:rPr>
              <w:t xml:space="preserve"> et al., 1983), in relazione alla posizione dell’area del sito BA-5.</w:t>
            </w:r>
          </w:p>
        </w:tc>
      </w:tr>
    </w:tbl>
    <w:p w14:paraId="25FA8146" w14:textId="77777777"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3F07227E" w14:textId="08B236D3"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8784" w:type="dxa"/>
        <w:tblLayout w:type="fixed"/>
        <w:tblLook w:val="04A0" w:firstRow="1" w:lastRow="0" w:firstColumn="1" w:lastColumn="0" w:noHBand="0" w:noVBand="1"/>
      </w:tblPr>
      <w:tblGrid>
        <w:gridCol w:w="8784"/>
      </w:tblGrid>
      <w:tr w:rsidR="00CF3FEC" w14:paraId="375D5E8F" w14:textId="77777777" w:rsidTr="00CC7E9C">
        <w:tc>
          <w:tcPr>
            <w:tcW w:w="8784" w:type="dxa"/>
          </w:tcPr>
          <w:p w14:paraId="68163789" w14:textId="2E597245" w:rsidR="00CF3FEC" w:rsidRDefault="00CF3FEC"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DC7B67">
              <w:rPr>
                <w:rFonts w:cs="Calibri"/>
                <w:noProof/>
              </w:rPr>
              <w:drawing>
                <wp:inline distT="0" distB="0" distL="0" distR="0" wp14:anchorId="68207D09" wp14:editId="540BA4A4">
                  <wp:extent cx="5473700" cy="3911369"/>
                  <wp:effectExtent l="0" t="0" r="0" b="0"/>
                  <wp:docPr id="27" name="Immagine 27" descr="\\badgsr048\GDL_Acqua_Suolo\Deposito_Naz_Rifiuti_Radioattivi\DOCUMENTAZIONE\file_di_lavoro\PPTR-GEOMORF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badgsr048\GDL_Acqua_Suolo\Deposito_Naz_Rifiuti_Radioattivi\DOCUMENTAZIONE\file_di_lavoro\PPTR-GEOMORFOLO.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5067" cy="3919492"/>
                          </a:xfrm>
                          <a:prstGeom prst="rect">
                            <a:avLst/>
                          </a:prstGeom>
                          <a:noFill/>
                          <a:ln>
                            <a:noFill/>
                          </a:ln>
                        </pic:spPr>
                      </pic:pic>
                    </a:graphicData>
                  </a:graphic>
                </wp:inline>
              </w:drawing>
            </w:r>
          </w:p>
        </w:tc>
      </w:tr>
      <w:tr w:rsidR="00CF3FEC" w14:paraId="130C3085" w14:textId="77777777" w:rsidTr="00CC7E9C">
        <w:tc>
          <w:tcPr>
            <w:tcW w:w="8784" w:type="dxa"/>
          </w:tcPr>
          <w:p w14:paraId="14015AFC" w14:textId="2F53710F" w:rsidR="00CF3FEC" w:rsidRPr="000B7B2D" w:rsidRDefault="00CF3FEC" w:rsidP="000B7B2D">
            <w:pPr>
              <w:jc w:val="center"/>
              <w:rPr>
                <w:rFonts w:ascii="Arial" w:eastAsia="Calibri" w:hAnsi="Arial" w:cs="Arial"/>
                <w:b/>
                <w:sz w:val="20"/>
                <w:szCs w:val="20"/>
                <w:lang w:eastAsia="en-US"/>
              </w:rPr>
            </w:pPr>
            <w:bookmarkStart w:id="1" w:name="_Toc63071376"/>
            <w:r w:rsidRPr="00C1087C">
              <w:rPr>
                <w:rFonts w:ascii="Arial" w:eastAsia="Calibri" w:hAnsi="Arial" w:cs="Arial"/>
                <w:b/>
                <w:sz w:val="20"/>
                <w:szCs w:val="20"/>
                <w:lang w:eastAsia="en-US"/>
              </w:rPr>
              <w:t>Fig</w:t>
            </w:r>
            <w:r w:rsidR="00525BBB" w:rsidRPr="00C1087C">
              <w:rPr>
                <w:rFonts w:ascii="Arial" w:eastAsia="Calibri" w:hAnsi="Arial" w:cs="Arial"/>
                <w:b/>
                <w:sz w:val="20"/>
                <w:szCs w:val="20"/>
                <w:lang w:eastAsia="en-US"/>
              </w:rPr>
              <w:t>. 6</w:t>
            </w:r>
            <w:r w:rsidRPr="00C1087C">
              <w:rPr>
                <w:rFonts w:ascii="Arial" w:eastAsia="Calibri" w:hAnsi="Arial" w:cs="Arial"/>
                <w:b/>
                <w:sz w:val="20"/>
                <w:szCs w:val="20"/>
                <w:lang w:eastAsia="en-US"/>
              </w:rPr>
              <w:t xml:space="preserve"> - </w:t>
            </w:r>
            <w:r w:rsidRPr="00C1087C">
              <w:rPr>
                <w:rFonts w:ascii="Arial" w:eastAsia="Calibri" w:hAnsi="Arial" w:cs="Arial"/>
                <w:sz w:val="20"/>
                <w:szCs w:val="20"/>
                <w:lang w:eastAsia="en-US"/>
              </w:rPr>
              <w:t xml:space="preserve">Confronto con Carta </w:t>
            </w:r>
            <w:proofErr w:type="spellStart"/>
            <w:r w:rsidRPr="00C1087C">
              <w:rPr>
                <w:rFonts w:ascii="Arial" w:eastAsia="Calibri" w:hAnsi="Arial" w:cs="Arial"/>
                <w:sz w:val="20"/>
                <w:szCs w:val="20"/>
                <w:lang w:eastAsia="en-US"/>
              </w:rPr>
              <w:t>Idrogeomorfologica</w:t>
            </w:r>
            <w:proofErr w:type="spellEnd"/>
            <w:r w:rsidRPr="00C1087C">
              <w:rPr>
                <w:rFonts w:ascii="Arial" w:eastAsia="Calibri" w:hAnsi="Arial" w:cs="Arial"/>
                <w:sz w:val="20"/>
                <w:szCs w:val="20"/>
                <w:lang w:eastAsia="en-US"/>
              </w:rPr>
              <w:t xml:space="preserve"> allegata al PAI e tavole PPTR</w:t>
            </w:r>
            <w:bookmarkEnd w:id="1"/>
            <w:r w:rsidRPr="00C1087C">
              <w:rPr>
                <w:rFonts w:ascii="Arial" w:eastAsia="Calibri" w:hAnsi="Arial" w:cs="Arial"/>
                <w:sz w:val="20"/>
                <w:szCs w:val="20"/>
                <w:lang w:eastAsia="en-US"/>
              </w:rPr>
              <w:t>.</w:t>
            </w:r>
          </w:p>
        </w:tc>
      </w:tr>
    </w:tbl>
    <w:p w14:paraId="7A8F21DC" w14:textId="77777777"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14:paraId="2A06EC24" w14:textId="77777777" w:rsidR="00862AB7" w:rsidRDefault="00862AB7"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tbl>
      <w:tblPr>
        <w:tblStyle w:val="Grigliatabella"/>
        <w:tblW w:w="0" w:type="auto"/>
        <w:tblLook w:val="04A0" w:firstRow="1" w:lastRow="0" w:firstColumn="1" w:lastColumn="0" w:noHBand="0" w:noVBand="1"/>
      </w:tblPr>
      <w:tblGrid>
        <w:gridCol w:w="8829"/>
      </w:tblGrid>
      <w:tr w:rsidR="00CF3FEC" w14:paraId="580B3CFA" w14:textId="77777777" w:rsidTr="00CF3FEC">
        <w:tc>
          <w:tcPr>
            <w:tcW w:w="8829" w:type="dxa"/>
          </w:tcPr>
          <w:p w14:paraId="2147BC30" w14:textId="42EB44EA" w:rsidR="00CF3FEC" w:rsidRDefault="00CF3FEC"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DC7B67">
              <w:rPr>
                <w:rFonts w:cs="Calibri"/>
                <w:noProof/>
              </w:rPr>
              <w:drawing>
                <wp:inline distT="0" distB="0" distL="0" distR="0" wp14:anchorId="34FE9E3C" wp14:editId="5B03FC19">
                  <wp:extent cx="5124450" cy="3171825"/>
                  <wp:effectExtent l="0" t="0" r="0" b="952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24450" cy="3171825"/>
                          </a:xfrm>
                          <a:prstGeom prst="rect">
                            <a:avLst/>
                          </a:prstGeom>
                          <a:noFill/>
                          <a:ln>
                            <a:noFill/>
                          </a:ln>
                        </pic:spPr>
                      </pic:pic>
                    </a:graphicData>
                  </a:graphic>
                </wp:inline>
              </w:drawing>
            </w:r>
          </w:p>
        </w:tc>
      </w:tr>
      <w:tr w:rsidR="00CF3FEC" w14:paraId="24994F00" w14:textId="77777777" w:rsidTr="00CF3FEC">
        <w:tc>
          <w:tcPr>
            <w:tcW w:w="8829" w:type="dxa"/>
          </w:tcPr>
          <w:p w14:paraId="422F1DDC" w14:textId="180C01A6" w:rsidR="00CF3FEC" w:rsidRPr="000B7B2D" w:rsidRDefault="00525BBB" w:rsidP="00CC7E9C">
            <w:pPr>
              <w:tabs>
                <w:tab w:val="left" w:pos="4253"/>
                <w:tab w:val="left" w:pos="4962"/>
                <w:tab w:val="left" w:pos="5245"/>
              </w:tabs>
              <w:spacing w:line="276" w:lineRule="auto"/>
              <w:jc w:val="both"/>
              <w:rPr>
                <w:rFonts w:ascii="Arial" w:eastAsia="Cambria" w:hAnsi="Arial" w:cs="Arial"/>
                <w:b/>
                <w:bCs/>
                <w:color w:val="0F243E" w:themeColor="text2" w:themeShade="80"/>
                <w:sz w:val="20"/>
                <w:szCs w:val="20"/>
              </w:rPr>
            </w:pPr>
            <w:r w:rsidRPr="00C1087C">
              <w:rPr>
                <w:rFonts w:ascii="Arial" w:eastAsia="Cambria" w:hAnsi="Arial" w:cs="Arial"/>
                <w:b/>
                <w:bCs/>
                <w:sz w:val="20"/>
                <w:szCs w:val="20"/>
              </w:rPr>
              <w:t>Fig. 7</w:t>
            </w:r>
            <w:r w:rsidR="000B7B2D" w:rsidRPr="00C1087C">
              <w:rPr>
                <w:rFonts w:ascii="Arial" w:eastAsia="Cambria" w:hAnsi="Arial" w:cs="Arial"/>
                <w:b/>
                <w:bCs/>
                <w:sz w:val="20"/>
                <w:szCs w:val="20"/>
              </w:rPr>
              <w:t xml:space="preserve"> -</w:t>
            </w:r>
            <w:r w:rsidR="00CF3FEC" w:rsidRPr="00C1087C">
              <w:rPr>
                <w:rFonts w:ascii="Arial" w:eastAsia="Cambria" w:hAnsi="Arial" w:cs="Arial"/>
                <w:b/>
                <w:bCs/>
                <w:sz w:val="20"/>
                <w:szCs w:val="20"/>
              </w:rPr>
              <w:t xml:space="preserve"> </w:t>
            </w:r>
            <w:r w:rsidR="00CF3FEC" w:rsidRPr="00C1087C">
              <w:rPr>
                <w:rFonts w:ascii="Arial" w:eastAsia="Cambria" w:hAnsi="Arial" w:cs="Arial"/>
                <w:bCs/>
                <w:sz w:val="20"/>
                <w:szCs w:val="20"/>
              </w:rPr>
              <w:t>Evidenze della presenza di versanti ad elevata inclinazione interessati da fenomeni di dissesto da frana e da erosione regressiva selvaggia ed incanalata.</w:t>
            </w:r>
          </w:p>
        </w:tc>
      </w:tr>
    </w:tbl>
    <w:p w14:paraId="1E4B77D8" w14:textId="37271FF3" w:rsidR="00E639BF" w:rsidRDefault="00E639B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p>
    <w:sectPr w:rsidR="00E639BF" w:rsidSect="005027AA">
      <w:headerReference w:type="default" r:id="rId21"/>
      <w:footerReference w:type="even" r:id="rId22"/>
      <w:footerReference w:type="default" r:id="rId23"/>
      <w:pgSz w:w="11901" w:h="16817"/>
      <w:pgMar w:top="993" w:right="1531" w:bottom="1134" w:left="1531" w:header="992" w:footer="709"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767B16" w14:textId="77777777" w:rsidR="003D4DBF" w:rsidRDefault="003D4DBF">
      <w:r>
        <w:separator/>
      </w:r>
    </w:p>
  </w:endnote>
  <w:endnote w:type="continuationSeparator" w:id="0">
    <w:p w14:paraId="6658AF59" w14:textId="77777777" w:rsidR="003D4DBF" w:rsidRDefault="003D4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600530816"/>
      <w:docPartObj>
        <w:docPartGallery w:val="Page Numbers (Bottom of Page)"/>
        <w:docPartUnique/>
      </w:docPartObj>
    </w:sdtPr>
    <w:sdtEndPr>
      <w:rPr>
        <w:rStyle w:val="Numeropagina"/>
      </w:rPr>
    </w:sdtEndPr>
    <w:sdtContent>
      <w:p w14:paraId="18A570D4" w14:textId="23EE0174" w:rsidR="001A72A7" w:rsidRDefault="001A72A7" w:rsidP="00460618">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3545FFE9" w14:textId="77777777" w:rsidR="001A72A7" w:rsidRDefault="001A72A7">
    <w:pPr>
      <w:pStyle w:val="Pidipa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EBA4F" w14:textId="2E7CB278" w:rsidR="002A4407" w:rsidRDefault="002A4407" w:rsidP="005027AA">
    <w:pPr>
      <w:pStyle w:val="Pidipagina"/>
    </w:pPr>
  </w:p>
  <w:p w14:paraId="00D778D8" w14:textId="77777777" w:rsidR="005027AA" w:rsidRPr="005027AA" w:rsidRDefault="005027AA" w:rsidP="005027AA">
    <w:pPr>
      <w:pStyle w:val="Pidipa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E73303" w14:textId="77777777" w:rsidR="003D4DBF" w:rsidRDefault="003D4DBF">
      <w:r>
        <w:separator/>
      </w:r>
    </w:p>
  </w:footnote>
  <w:footnote w:type="continuationSeparator" w:id="0">
    <w:p w14:paraId="1CAE32C4" w14:textId="77777777" w:rsidR="003D4DBF" w:rsidRDefault="003D4DB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259EA" w14:textId="77777777" w:rsidR="002A4407" w:rsidRDefault="002A4407">
    <w:pPr>
      <w:tabs>
        <w:tab w:val="left" w:pos="4253"/>
        <w:tab w:val="left" w:pos="4395"/>
      </w:tabs>
      <w:spacing w:line="220" w:lineRule="exact"/>
      <w:rPr>
        <w:rFonts w:ascii="Calibri" w:hAnsi="Calibri"/>
        <w:b/>
        <w:w w:val="90"/>
        <w:sz w:val="21"/>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E4969F7"/>
    <w:multiLevelType w:val="hybridMultilevel"/>
    <w:tmpl w:val="1C16FE1A"/>
    <w:lvl w:ilvl="0" w:tplc="19D67454">
      <w:start w:val="6"/>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1" w15:restartNumberingAfterBreak="0">
    <w:nsid w:val="3A480F08"/>
    <w:multiLevelType w:val="multilevel"/>
    <w:tmpl w:val="C60A1F3C"/>
    <w:lvl w:ilvl="0">
      <w:start w:val="1"/>
      <w:numFmt w:val="bullet"/>
      <w:lvlText w:val="-"/>
      <w:lvlJc w:val="left"/>
      <w:pPr>
        <w:ind w:left="717" w:hanging="360"/>
      </w:pPr>
      <w:rPr>
        <w:rFonts w:ascii="Calibri" w:hAnsi="Calibri" w:cs="Calibri" w:hint="default"/>
        <w:color w:val="auto"/>
      </w:rPr>
    </w:lvl>
    <w:lvl w:ilvl="1">
      <w:start w:val="1"/>
      <w:numFmt w:val="bullet"/>
      <w:lvlText w:val="o"/>
      <w:lvlJc w:val="left"/>
      <w:pPr>
        <w:ind w:left="1437" w:hanging="360"/>
      </w:pPr>
      <w:rPr>
        <w:rFonts w:ascii="Courier New" w:hAnsi="Courier New" w:cs="Courier New" w:hint="default"/>
      </w:rPr>
    </w:lvl>
    <w:lvl w:ilvl="2">
      <w:start w:val="1"/>
      <w:numFmt w:val="bullet"/>
      <w:lvlText w:val=""/>
      <w:lvlJc w:val="left"/>
      <w:pPr>
        <w:ind w:left="2157" w:hanging="360"/>
      </w:pPr>
      <w:rPr>
        <w:rFonts w:ascii="Wingdings" w:hAnsi="Wingdings" w:cs="Wingdings" w:hint="default"/>
      </w:rPr>
    </w:lvl>
    <w:lvl w:ilvl="3">
      <w:start w:val="1"/>
      <w:numFmt w:val="bullet"/>
      <w:lvlText w:val=""/>
      <w:lvlJc w:val="left"/>
      <w:pPr>
        <w:ind w:left="2877" w:hanging="360"/>
      </w:pPr>
      <w:rPr>
        <w:rFonts w:ascii="Symbol" w:hAnsi="Symbol" w:cs="Symbol" w:hint="default"/>
      </w:rPr>
    </w:lvl>
    <w:lvl w:ilvl="4">
      <w:start w:val="1"/>
      <w:numFmt w:val="bullet"/>
      <w:lvlText w:val="o"/>
      <w:lvlJc w:val="left"/>
      <w:pPr>
        <w:ind w:left="3597" w:hanging="360"/>
      </w:pPr>
      <w:rPr>
        <w:rFonts w:ascii="Courier New" w:hAnsi="Courier New" w:cs="Courier New" w:hint="default"/>
      </w:rPr>
    </w:lvl>
    <w:lvl w:ilvl="5">
      <w:start w:val="1"/>
      <w:numFmt w:val="bullet"/>
      <w:lvlText w:val=""/>
      <w:lvlJc w:val="left"/>
      <w:pPr>
        <w:ind w:left="4317" w:hanging="360"/>
      </w:pPr>
      <w:rPr>
        <w:rFonts w:ascii="Wingdings" w:hAnsi="Wingdings" w:cs="Wingdings" w:hint="default"/>
      </w:rPr>
    </w:lvl>
    <w:lvl w:ilvl="6">
      <w:start w:val="1"/>
      <w:numFmt w:val="bullet"/>
      <w:lvlText w:val=""/>
      <w:lvlJc w:val="left"/>
      <w:pPr>
        <w:ind w:left="5037" w:hanging="360"/>
      </w:pPr>
      <w:rPr>
        <w:rFonts w:ascii="Symbol" w:hAnsi="Symbol" w:cs="Symbol" w:hint="default"/>
      </w:rPr>
    </w:lvl>
    <w:lvl w:ilvl="7">
      <w:start w:val="1"/>
      <w:numFmt w:val="bullet"/>
      <w:lvlText w:val="o"/>
      <w:lvlJc w:val="left"/>
      <w:pPr>
        <w:ind w:left="5757" w:hanging="360"/>
      </w:pPr>
      <w:rPr>
        <w:rFonts w:ascii="Courier New" w:hAnsi="Courier New" w:cs="Courier New" w:hint="default"/>
      </w:rPr>
    </w:lvl>
    <w:lvl w:ilvl="8">
      <w:start w:val="1"/>
      <w:numFmt w:val="bullet"/>
      <w:lvlText w:val=""/>
      <w:lvlJc w:val="left"/>
      <w:pPr>
        <w:ind w:left="6477" w:hanging="360"/>
      </w:pPr>
      <w:rPr>
        <w:rFonts w:ascii="Wingdings" w:hAnsi="Wingdings" w:cs="Wingdings" w:hint="default"/>
      </w:rPr>
    </w:lvl>
  </w:abstractNum>
  <w:abstractNum w:abstractNumId="2" w15:restartNumberingAfterBreak="0">
    <w:nsid w:val="5497690D"/>
    <w:multiLevelType w:val="multilevel"/>
    <w:tmpl w:val="D910BC2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it-IT" w:vendorID="64" w:dllVersion="131078" w:nlCheck="1" w:checkStyle="0"/>
  <w:activeWritingStyle w:appName="MSWord" w:lang="en-GB" w:vendorID="64" w:dllVersion="131078" w:nlCheck="1" w:checkStyle="1"/>
  <w:proofState w:spelling="clean" w:grammar="clean"/>
  <w:trackRevisions/>
  <w:defaultTabStop w:val="708"/>
  <w:autoHyphenation/>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cyN7AwszQ0sbQwMzdQ0lEKTi0uzszPAykwrgUAMMQgSiwAAAA="/>
  </w:docVars>
  <w:rsids>
    <w:rsidRoot w:val="002A4407"/>
    <w:rsid w:val="00007F0B"/>
    <w:rsid w:val="000227EA"/>
    <w:rsid w:val="00024189"/>
    <w:rsid w:val="00033E2F"/>
    <w:rsid w:val="00050A82"/>
    <w:rsid w:val="000B7B2D"/>
    <w:rsid w:val="000C3A12"/>
    <w:rsid w:val="00133875"/>
    <w:rsid w:val="001A72A7"/>
    <w:rsid w:val="001B2473"/>
    <w:rsid w:val="00255F43"/>
    <w:rsid w:val="0028171E"/>
    <w:rsid w:val="002A4407"/>
    <w:rsid w:val="002D0839"/>
    <w:rsid w:val="00384ABD"/>
    <w:rsid w:val="003D4DBF"/>
    <w:rsid w:val="00410D0C"/>
    <w:rsid w:val="00415769"/>
    <w:rsid w:val="00435CAA"/>
    <w:rsid w:val="00450125"/>
    <w:rsid w:val="005027AA"/>
    <w:rsid w:val="00525BBB"/>
    <w:rsid w:val="00566B83"/>
    <w:rsid w:val="005C40A9"/>
    <w:rsid w:val="005E6764"/>
    <w:rsid w:val="006D6971"/>
    <w:rsid w:val="00705E9C"/>
    <w:rsid w:val="00707908"/>
    <w:rsid w:val="007440A3"/>
    <w:rsid w:val="00756D28"/>
    <w:rsid w:val="007A4BAD"/>
    <w:rsid w:val="008105CB"/>
    <w:rsid w:val="00834A98"/>
    <w:rsid w:val="00834FB5"/>
    <w:rsid w:val="00862AB7"/>
    <w:rsid w:val="0086362B"/>
    <w:rsid w:val="00883C60"/>
    <w:rsid w:val="00891D43"/>
    <w:rsid w:val="008B6077"/>
    <w:rsid w:val="009043A4"/>
    <w:rsid w:val="009277DE"/>
    <w:rsid w:val="009E13AB"/>
    <w:rsid w:val="00A61E52"/>
    <w:rsid w:val="00A7783A"/>
    <w:rsid w:val="00A82FFF"/>
    <w:rsid w:val="00AE7AEA"/>
    <w:rsid w:val="00AF713B"/>
    <w:rsid w:val="00B33416"/>
    <w:rsid w:val="00B809E2"/>
    <w:rsid w:val="00BB7D64"/>
    <w:rsid w:val="00BC4DD3"/>
    <w:rsid w:val="00BF489A"/>
    <w:rsid w:val="00C01BBC"/>
    <w:rsid w:val="00C1087C"/>
    <w:rsid w:val="00C1573A"/>
    <w:rsid w:val="00C24F6B"/>
    <w:rsid w:val="00C6097B"/>
    <w:rsid w:val="00CC7E9C"/>
    <w:rsid w:val="00CD0802"/>
    <w:rsid w:val="00CD325A"/>
    <w:rsid w:val="00CF3FEC"/>
    <w:rsid w:val="00D2026E"/>
    <w:rsid w:val="00D45592"/>
    <w:rsid w:val="00D67EB5"/>
    <w:rsid w:val="00D85C58"/>
    <w:rsid w:val="00DC256A"/>
    <w:rsid w:val="00E07C6E"/>
    <w:rsid w:val="00E12D12"/>
    <w:rsid w:val="00E14844"/>
    <w:rsid w:val="00E155D5"/>
    <w:rsid w:val="00E23AA1"/>
    <w:rsid w:val="00E639BF"/>
    <w:rsid w:val="00E67EDB"/>
    <w:rsid w:val="00EA4CF1"/>
    <w:rsid w:val="00F65550"/>
    <w:rsid w:val="00F95985"/>
    <w:rsid w:val="00FC6EAA"/>
    <w:rsid w:val="00FD7983"/>
  </w:rsids>
  <m:mathPr>
    <m:mathFont m:val="Cambria Math"/>
    <m:brkBin m:val="before"/>
    <m:brkBinSub m:val="--"/>
    <m:smallFrac m:val="0"/>
    <m:dispDef/>
    <m:lMargin m:val="0"/>
    <m:rMargin m:val="0"/>
    <m:defJc m:val="centerGroup"/>
    <m:wrapIndent m:val="1440"/>
    <m:intLim m:val="subSup"/>
    <m:naryLim m:val="undOvr"/>
  </m:mathPr>
  <w:themeFontLang w:val="it-I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D12C15"/>
  <w15:docId w15:val="{C99C2DEF-B882-8C4B-95DA-A0813F4E7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Times New Roman"/>
        <w:lang w:val="it-IT" w:eastAsia="it-IT" w:bidi="ar-SA"/>
      </w:rPr>
    </w:rPrDefault>
    <w:pPrDefault>
      <w:pPr>
        <w:suppressAutoHyphens/>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6760E5"/>
    <w:rPr>
      <w:rFonts w:ascii="Times New Roman" w:eastAsia="Times New Roman" w:hAnsi="Times New Roman"/>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Fontpredefinitoparagrafo">
    <w:name w:val="Font predefinito paragrafo"/>
    <w:qFormat/>
    <w:rsid w:val="0064283A"/>
  </w:style>
  <w:style w:type="character" w:customStyle="1" w:styleId="IntestazioneCarattere">
    <w:name w:val="Intestazione Carattere"/>
    <w:basedOn w:val="Carpredefinitoparagrafo"/>
    <w:link w:val="Intestazione"/>
    <w:uiPriority w:val="99"/>
    <w:qFormat/>
    <w:rsid w:val="00A82DDB"/>
    <w:rPr>
      <w:sz w:val="24"/>
    </w:rPr>
  </w:style>
  <w:style w:type="character" w:customStyle="1" w:styleId="PidipaginaCarattere">
    <w:name w:val="Piè di pagina Carattere"/>
    <w:basedOn w:val="Carpredefinitoparagrafo"/>
    <w:link w:val="Pidipagina"/>
    <w:uiPriority w:val="99"/>
    <w:qFormat/>
    <w:rsid w:val="00A82DDB"/>
    <w:rPr>
      <w:sz w:val="24"/>
    </w:rPr>
  </w:style>
  <w:style w:type="character" w:customStyle="1" w:styleId="CollegamentoInternet">
    <w:name w:val="Collegamento Internet"/>
    <w:basedOn w:val="Carpredefinitoparagrafo"/>
    <w:rsid w:val="00885342"/>
    <w:rPr>
      <w:color w:val="0000FF"/>
      <w:u w:val="single"/>
    </w:rPr>
  </w:style>
  <w:style w:type="character" w:customStyle="1" w:styleId="apple-converted-space">
    <w:name w:val="apple-converted-space"/>
    <w:basedOn w:val="Carpredefinitoparagrafo"/>
    <w:qFormat/>
    <w:rsid w:val="002457A0"/>
  </w:style>
  <w:style w:type="character" w:customStyle="1" w:styleId="TestonotaapidipaginaCarattere">
    <w:name w:val="Testo nota a piè di pagina Carattere"/>
    <w:basedOn w:val="Carpredefinitoparagrafo"/>
    <w:link w:val="Testonotaapidipagina"/>
    <w:uiPriority w:val="99"/>
    <w:qFormat/>
    <w:rsid w:val="00211638"/>
    <w:rPr>
      <w:rFonts w:asciiTheme="minorHAnsi" w:eastAsiaTheme="minorHAnsi" w:hAnsiTheme="minorHAnsi" w:cstheme="minorBidi"/>
      <w:lang w:eastAsia="en-US"/>
    </w:rPr>
  </w:style>
  <w:style w:type="character" w:customStyle="1" w:styleId="Richiamoallanotaapidipagina">
    <w:name w:val="Richiamo alla nota a piè di pagina"/>
    <w:rPr>
      <w:vertAlign w:val="superscript"/>
    </w:rPr>
  </w:style>
  <w:style w:type="character" w:customStyle="1" w:styleId="FootnoteCharacters">
    <w:name w:val="Footnote Characters"/>
    <w:basedOn w:val="Carpredefinitoparagrafo"/>
    <w:uiPriority w:val="99"/>
    <w:unhideWhenUsed/>
    <w:qFormat/>
    <w:rsid w:val="00211638"/>
    <w:rPr>
      <w:vertAlign w:val="superscript"/>
    </w:rPr>
  </w:style>
  <w:style w:type="character" w:customStyle="1" w:styleId="TestofumettoCarattere">
    <w:name w:val="Testo fumetto Carattere"/>
    <w:basedOn w:val="Carpredefinitoparagrafo"/>
    <w:link w:val="Testofumetto"/>
    <w:qFormat/>
    <w:rsid w:val="00655AAC"/>
    <w:rPr>
      <w:rFonts w:ascii="Tahoma" w:hAnsi="Tahoma" w:cs="Tahoma"/>
      <w:sz w:val="16"/>
      <w:szCs w:val="16"/>
      <w:lang w:eastAsia="en-US"/>
    </w:rPr>
  </w:style>
  <w:style w:type="character" w:customStyle="1" w:styleId="Menzionenonrisolta1">
    <w:name w:val="Menzione non risolta1"/>
    <w:basedOn w:val="Carpredefinitoparagrafo"/>
    <w:uiPriority w:val="99"/>
    <w:semiHidden/>
    <w:unhideWhenUsed/>
    <w:qFormat/>
    <w:rsid w:val="00C008FE"/>
    <w:rPr>
      <w:color w:val="605E5C"/>
      <w:shd w:val="clear" w:color="auto" w:fill="E1DFDD"/>
    </w:rPr>
  </w:style>
  <w:style w:type="paragraph" w:styleId="Titolo">
    <w:name w:val="Title"/>
    <w:basedOn w:val="Normale"/>
    <w:next w:val="Corpotesto"/>
    <w:qFormat/>
    <w:pPr>
      <w:keepNext/>
      <w:spacing w:before="240" w:after="120"/>
    </w:pPr>
    <w:rPr>
      <w:rFonts w:ascii="Liberation Sans" w:eastAsia="Microsoft YaHei" w:hAnsi="Liberation Sans" w:cs="Mangal"/>
      <w:sz w:val="28"/>
      <w:szCs w:val="28"/>
    </w:rPr>
  </w:style>
  <w:style w:type="paragraph" w:styleId="Corpotesto">
    <w:name w:val="Body Text"/>
    <w:basedOn w:val="Normale"/>
    <w:pPr>
      <w:spacing w:after="140" w:line="276" w:lineRule="auto"/>
    </w:pPr>
  </w:style>
  <w:style w:type="paragraph" w:styleId="Elenco">
    <w:name w:val="List"/>
    <w:basedOn w:val="Corpotesto"/>
    <w:rPr>
      <w:rFonts w:cs="Mangal"/>
    </w:rPr>
  </w:style>
  <w:style w:type="paragraph" w:styleId="Didascalia">
    <w:name w:val="caption"/>
    <w:basedOn w:val="Normale"/>
    <w:qFormat/>
    <w:pPr>
      <w:suppressLineNumbers/>
      <w:spacing w:before="120" w:after="120"/>
    </w:pPr>
    <w:rPr>
      <w:rFonts w:cs="Mangal"/>
      <w:i/>
      <w:iCs/>
    </w:rPr>
  </w:style>
  <w:style w:type="paragraph" w:customStyle="1" w:styleId="Indice">
    <w:name w:val="Indice"/>
    <w:basedOn w:val="Normale"/>
    <w:qFormat/>
    <w:pPr>
      <w:suppressLineNumbers/>
    </w:pPr>
    <w:rPr>
      <w:rFonts w:cs="Mangal"/>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A82DDB"/>
    <w:pPr>
      <w:tabs>
        <w:tab w:val="center" w:pos="4819"/>
        <w:tab w:val="right" w:pos="9638"/>
      </w:tabs>
    </w:pPr>
    <w:rPr>
      <w:rFonts w:ascii="Cambria" w:eastAsia="Cambria" w:hAnsi="Cambria"/>
      <w:lang w:eastAsia="en-US"/>
    </w:rPr>
  </w:style>
  <w:style w:type="paragraph" w:styleId="Pidipagina">
    <w:name w:val="footer"/>
    <w:basedOn w:val="Normale"/>
    <w:link w:val="PidipaginaCarattere"/>
    <w:uiPriority w:val="99"/>
    <w:unhideWhenUsed/>
    <w:rsid w:val="00A82DDB"/>
    <w:pPr>
      <w:tabs>
        <w:tab w:val="center" w:pos="4819"/>
        <w:tab w:val="right" w:pos="9638"/>
      </w:tabs>
    </w:pPr>
    <w:rPr>
      <w:rFonts w:ascii="Cambria" w:eastAsia="Cambria" w:hAnsi="Cambria"/>
      <w:lang w:eastAsia="en-US"/>
    </w:rPr>
  </w:style>
  <w:style w:type="paragraph" w:styleId="Paragrafoelenco">
    <w:name w:val="List Paragraph"/>
    <w:basedOn w:val="Normale"/>
    <w:uiPriority w:val="34"/>
    <w:qFormat/>
    <w:rsid w:val="00D47EA9"/>
    <w:pPr>
      <w:spacing w:after="200" w:line="276" w:lineRule="auto"/>
      <w:ind w:left="720"/>
    </w:pPr>
    <w:rPr>
      <w:rFonts w:ascii="Calibri" w:hAnsi="Calibri" w:cs="Calibri"/>
      <w:sz w:val="22"/>
      <w:szCs w:val="22"/>
      <w:lang w:eastAsia="en-US"/>
    </w:rPr>
  </w:style>
  <w:style w:type="paragraph" w:customStyle="1" w:styleId="m-5113619490410378957msoplaintext">
    <w:name w:val="m_-5113619490410378957msoplaintext"/>
    <w:basedOn w:val="Normale"/>
    <w:qFormat/>
    <w:rsid w:val="0027505D"/>
    <w:pPr>
      <w:spacing w:beforeAutospacing="1" w:afterAutospacing="1"/>
    </w:pPr>
  </w:style>
  <w:style w:type="paragraph" w:styleId="NormaleWeb">
    <w:name w:val="Normal (Web)"/>
    <w:basedOn w:val="Normale"/>
    <w:uiPriority w:val="99"/>
    <w:unhideWhenUsed/>
    <w:qFormat/>
    <w:rsid w:val="00A72680"/>
    <w:pPr>
      <w:spacing w:beforeAutospacing="1" w:afterAutospacing="1"/>
    </w:pPr>
  </w:style>
  <w:style w:type="paragraph" w:styleId="Testonotaapidipagina">
    <w:name w:val="footnote text"/>
    <w:basedOn w:val="Normale"/>
    <w:link w:val="TestonotaapidipaginaCarattere"/>
    <w:uiPriority w:val="99"/>
    <w:unhideWhenUsed/>
    <w:rsid w:val="00211638"/>
    <w:rPr>
      <w:rFonts w:asciiTheme="minorHAnsi" w:eastAsiaTheme="minorHAnsi" w:hAnsiTheme="minorHAnsi" w:cstheme="minorBidi"/>
      <w:sz w:val="20"/>
      <w:szCs w:val="20"/>
      <w:lang w:eastAsia="en-US"/>
    </w:rPr>
  </w:style>
  <w:style w:type="paragraph" w:styleId="Testofumetto">
    <w:name w:val="Balloon Text"/>
    <w:basedOn w:val="Normale"/>
    <w:link w:val="TestofumettoCarattere"/>
    <w:qFormat/>
    <w:rsid w:val="00655AAC"/>
    <w:rPr>
      <w:rFonts w:ascii="Tahoma" w:eastAsia="Cambria" w:hAnsi="Tahoma" w:cs="Tahoma"/>
      <w:sz w:val="16"/>
      <w:szCs w:val="16"/>
      <w:lang w:eastAsia="en-US"/>
    </w:rPr>
  </w:style>
  <w:style w:type="paragraph" w:customStyle="1" w:styleId="Contenutocornice">
    <w:name w:val="Contenuto cornice"/>
    <w:basedOn w:val="Normale"/>
    <w:qFormat/>
  </w:style>
  <w:style w:type="table" w:styleId="Grigliatabella">
    <w:name w:val="Table Grid"/>
    <w:basedOn w:val="Tabellanormale"/>
    <w:uiPriority w:val="59"/>
    <w:rsid w:val="00506B3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umeropagina">
    <w:name w:val="page number"/>
    <w:basedOn w:val="Carpredefinitoparagrafo"/>
    <w:semiHidden/>
    <w:unhideWhenUsed/>
    <w:rsid w:val="001A72A7"/>
  </w:style>
  <w:style w:type="paragraph" w:customStyle="1" w:styleId="LABELOBBLIGATORI">
    <w:name w:val="LABEL OBBLIGATORI"/>
    <w:basedOn w:val="Normale"/>
    <w:rsid w:val="00C24F6B"/>
    <w:pPr>
      <w:suppressAutoHyphens w:val="0"/>
    </w:pPr>
    <w:rPr>
      <w:rFonts w:ascii="Arial" w:hAnsi="Arial"/>
      <w:b/>
      <w:color w:val="FFFFFF"/>
      <w:sz w:val="20"/>
      <w:szCs w:val="20"/>
    </w:rPr>
  </w:style>
  <w:style w:type="paragraph" w:customStyle="1" w:styleId="LABELSEMPLICI">
    <w:name w:val="LABEL SEMPLICI"/>
    <w:basedOn w:val="LABELOBBLIGATORI"/>
    <w:rsid w:val="00C24F6B"/>
    <w:rPr>
      <w:b w:val="0"/>
      <w:color w:val="000080"/>
    </w:rPr>
  </w:style>
  <w:style w:type="paragraph" w:customStyle="1" w:styleId="CAMPI">
    <w:name w:val="CAMPI"/>
    <w:basedOn w:val="Normale"/>
    <w:rsid w:val="00C24F6B"/>
    <w:pPr>
      <w:suppressAutoHyphens w:val="0"/>
      <w:spacing w:before="120" w:after="120" w:line="288" w:lineRule="auto"/>
    </w:pPr>
    <w:rPr>
      <w:rFonts w:ascii="Arial" w:hAnsi="Arial"/>
      <w:sz w:val="18"/>
      <w:szCs w:val="20"/>
    </w:rPr>
  </w:style>
  <w:style w:type="character" w:styleId="Collegamentoipertestuale">
    <w:name w:val="Hyperlink"/>
    <w:basedOn w:val="Carpredefinitoparagrafo"/>
    <w:uiPriority w:val="99"/>
    <w:unhideWhenUsed/>
    <w:rsid w:val="00862AB7"/>
    <w:rPr>
      <w:color w:val="0000FF" w:themeColor="hyperlink"/>
      <w:u w:val="single"/>
    </w:rPr>
  </w:style>
  <w:style w:type="character" w:customStyle="1" w:styleId="UnresolvedMention">
    <w:name w:val="Unresolved Mention"/>
    <w:basedOn w:val="Carpredefinitoparagrafo"/>
    <w:uiPriority w:val="99"/>
    <w:semiHidden/>
    <w:unhideWhenUsed/>
    <w:rsid w:val="009E13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075020">
      <w:bodyDiv w:val="1"/>
      <w:marLeft w:val="0"/>
      <w:marRight w:val="0"/>
      <w:marTop w:val="0"/>
      <w:marBottom w:val="0"/>
      <w:divBdr>
        <w:top w:val="none" w:sz="0" w:space="0" w:color="auto"/>
        <w:left w:val="none" w:sz="0" w:space="0" w:color="auto"/>
        <w:bottom w:val="none" w:sz="0" w:space="0" w:color="auto"/>
        <w:right w:val="none" w:sz="0" w:space="0" w:color="auto"/>
      </w:divBdr>
    </w:div>
    <w:div w:id="4352956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pn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sit.puglia.it/portal/portale_rete_ecologica/ricognizione%20geositi" TargetMode="Externa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eositipuglia.e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hyperlink" Target="http://diss.rm.ingv.it/dissnet/CadmoDriver?_action_do_single=1&amp;_state=find&amp;_token=NULLNULLNULLNULL&amp;_tabber=1&amp;_page=pSASources_d&amp;IDSource=ITCS005"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emidius.mi.ingv.it/CPTI15-DBMI15/" TargetMode="External"/><Relationship Id="rId14" Type="http://schemas.openxmlformats.org/officeDocument/2006/relationships/hyperlink" Target="https://emidius.mi.ingv.it/CPTI15-DBMI15" TargetMode="External"/><Relationship Id="rId22"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D618F2-5575-4CCB-B4A9-B3D78B5DC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3801</Words>
  <Characters>21668</Characters>
  <Application>Microsoft Office Word</Application>
  <DocSecurity>0</DocSecurity>
  <Lines>180</Lines>
  <Paragraphs>50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dc:creator>
  <dc:description/>
  <cp:lastModifiedBy>Utente Windows</cp:lastModifiedBy>
  <cp:revision>3</cp:revision>
  <cp:lastPrinted>2019-11-28T15:15:00Z</cp:lastPrinted>
  <dcterms:created xsi:type="dcterms:W3CDTF">2021-02-09T19:23:00Z</dcterms:created>
  <dcterms:modified xsi:type="dcterms:W3CDTF">2021-02-09T19:25:00Z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